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2D" w:rsidRDefault="002F00B3">
      <w:r>
        <w:rPr>
          <w:noProof/>
          <w:lang w:eastAsia="en-ZA" w:bidi="he-IL"/>
        </w:rPr>
        <w:drawing>
          <wp:inline distT="0" distB="0" distL="0" distR="0">
            <wp:extent cx="5582285" cy="1052830"/>
            <wp:effectExtent l="0" t="0" r="0" b="0"/>
            <wp:docPr id="1" name="Picture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2285" cy="1052830"/>
                    </a:xfrm>
                    <a:prstGeom prst="rect">
                      <a:avLst/>
                    </a:prstGeom>
                    <a:noFill/>
                    <a:ln>
                      <a:noFill/>
                    </a:ln>
                  </pic:spPr>
                </pic:pic>
              </a:graphicData>
            </a:graphic>
          </wp:inline>
        </w:drawing>
      </w:r>
    </w:p>
    <w:p w:rsidR="000B3A2D" w:rsidRDefault="000B3A2D"/>
    <w:p w:rsidR="000B3A2D" w:rsidRDefault="000B3A2D" w:rsidP="00655AA3">
      <w:pPr>
        <w:jc w:val="center"/>
        <w:rPr>
          <w:rFonts w:ascii="Arial" w:hAnsi="Arial" w:cs="Arial"/>
          <w:b/>
        </w:rPr>
      </w:pPr>
      <w:r w:rsidRPr="0048006E">
        <w:rPr>
          <w:rFonts w:ascii="Arial" w:hAnsi="Arial" w:cs="Arial"/>
          <w:b/>
        </w:rPr>
        <w:t>KWENA BASIN PROJECT (2014-201</w:t>
      </w:r>
      <w:r>
        <w:rPr>
          <w:rFonts w:ascii="Arial" w:hAnsi="Arial" w:cs="Arial"/>
          <w:b/>
        </w:rPr>
        <w:t>8</w:t>
      </w:r>
      <w:r w:rsidRPr="0048006E">
        <w:rPr>
          <w:rFonts w:ascii="Arial" w:hAnsi="Arial" w:cs="Arial"/>
          <w:b/>
        </w:rPr>
        <w:t>)</w:t>
      </w:r>
    </w:p>
    <w:p w:rsidR="000B3A2D" w:rsidRPr="00CC13EF" w:rsidRDefault="000B3A2D" w:rsidP="00655AA3">
      <w:pPr>
        <w:jc w:val="center"/>
        <w:rPr>
          <w:rFonts w:ascii="Arial" w:hAnsi="Arial" w:cs="Arial"/>
        </w:rPr>
      </w:pPr>
      <w:r w:rsidRPr="00CC13EF">
        <w:rPr>
          <w:rFonts w:ascii="Arial" w:hAnsi="Arial" w:cs="Arial"/>
        </w:rPr>
        <w:t xml:space="preserve">A </w:t>
      </w:r>
      <w:r>
        <w:rPr>
          <w:rFonts w:ascii="Arial" w:hAnsi="Arial" w:cs="Arial"/>
        </w:rPr>
        <w:t>Basic Concepts P</w:t>
      </w:r>
      <w:r w:rsidRPr="00CC13EF">
        <w:rPr>
          <w:rFonts w:ascii="Arial" w:hAnsi="Arial" w:cs="Arial"/>
        </w:rPr>
        <w:t xml:space="preserve">roject for Foundation Phase </w:t>
      </w:r>
      <w:r>
        <w:rPr>
          <w:rFonts w:ascii="Arial" w:hAnsi="Arial" w:cs="Arial"/>
        </w:rPr>
        <w:t>T</w:t>
      </w:r>
      <w:r w:rsidRPr="00CC13EF">
        <w:rPr>
          <w:rFonts w:ascii="Arial" w:hAnsi="Arial" w:cs="Arial"/>
        </w:rPr>
        <w:t>eachers</w:t>
      </w:r>
      <w:r>
        <w:rPr>
          <w:rFonts w:ascii="Arial" w:hAnsi="Arial" w:cs="Arial"/>
        </w:rPr>
        <w:t xml:space="preserve"> in Four Schools</w:t>
      </w:r>
    </w:p>
    <w:p w:rsidR="000B3A2D" w:rsidRDefault="000B3A2D" w:rsidP="00655AA3">
      <w:pPr>
        <w:jc w:val="center"/>
        <w:rPr>
          <w:rFonts w:ascii="Arial" w:hAnsi="Arial" w:cs="Arial"/>
        </w:rPr>
      </w:pPr>
    </w:p>
    <w:p w:rsidR="000B3A2D" w:rsidRPr="009924BC" w:rsidRDefault="00257AF7" w:rsidP="00E51D97">
      <w:pPr>
        <w:jc w:val="center"/>
        <w:rPr>
          <w:rFonts w:ascii="Arial" w:hAnsi="Arial" w:cs="Arial"/>
          <w:u w:val="single"/>
        </w:rPr>
      </w:pPr>
      <w:r>
        <w:rPr>
          <w:rFonts w:ascii="Arial" w:hAnsi="Arial" w:cs="Arial"/>
          <w:u w:val="single"/>
        </w:rPr>
        <w:t>Word Test Results: 2014 - 201</w:t>
      </w:r>
      <w:r w:rsidR="00E51D97">
        <w:rPr>
          <w:rFonts w:ascii="Arial" w:hAnsi="Arial" w:cs="Arial"/>
          <w:u w:val="single"/>
        </w:rPr>
        <w:t>8</w:t>
      </w:r>
    </w:p>
    <w:p w:rsidR="000B3A2D" w:rsidRDefault="000B3A2D" w:rsidP="00655AA3">
      <w:pPr>
        <w:spacing w:after="0" w:line="240" w:lineRule="auto"/>
        <w:rPr>
          <w:rFonts w:ascii="Arial" w:eastAsia="MS Mincho" w:hAnsi="Arial" w:cs="Arial"/>
          <w:b/>
          <w:sz w:val="24"/>
          <w:szCs w:val="24"/>
          <w:lang w:val="en-US" w:eastAsia="ja-JP"/>
        </w:rPr>
      </w:pPr>
    </w:p>
    <w:p w:rsidR="000B3A2D" w:rsidRPr="00655AA3" w:rsidRDefault="000B3A2D" w:rsidP="00655AA3">
      <w:pPr>
        <w:spacing w:after="0" w:line="240" w:lineRule="auto"/>
        <w:rPr>
          <w:rFonts w:ascii="Arial" w:eastAsia="MS Mincho" w:hAnsi="Arial" w:cs="Arial"/>
          <w:b/>
          <w:sz w:val="24"/>
          <w:szCs w:val="24"/>
          <w:lang w:val="en-US" w:eastAsia="ja-JP"/>
        </w:rPr>
      </w:pPr>
      <w:r w:rsidRPr="00655AA3">
        <w:rPr>
          <w:rFonts w:ascii="Arial" w:eastAsia="MS Mincho" w:hAnsi="Arial" w:cs="Arial"/>
          <w:b/>
          <w:sz w:val="24"/>
          <w:szCs w:val="24"/>
          <w:lang w:val="en-US" w:eastAsia="ja-JP"/>
        </w:rPr>
        <w:t xml:space="preserve">Aim </w:t>
      </w:r>
    </w:p>
    <w:p w:rsidR="000B3A2D" w:rsidRPr="00655AA3" w:rsidRDefault="000B3A2D" w:rsidP="00655AA3">
      <w:pPr>
        <w:spacing w:after="0" w:line="360" w:lineRule="auto"/>
        <w:jc w:val="both"/>
        <w:rPr>
          <w:rFonts w:ascii="Arial" w:eastAsia="MS Mincho" w:hAnsi="Arial" w:cs="Arial"/>
          <w:sz w:val="24"/>
          <w:szCs w:val="24"/>
          <w:lang w:val="en-US" w:eastAsia="ja-JP"/>
        </w:rPr>
      </w:pPr>
      <w:r w:rsidRPr="00655AA3">
        <w:rPr>
          <w:rFonts w:ascii="Arial" w:eastAsia="MS Mincho" w:hAnsi="Arial" w:cs="Arial"/>
          <w:sz w:val="24"/>
          <w:szCs w:val="24"/>
          <w:lang w:val="en-US" w:eastAsia="ja-JP"/>
        </w:rPr>
        <w:t xml:space="preserve">The project aims to systematically improve the language, cognitive and scholastic functioning of Foundation Phase learners from four multi-grade schools in the </w:t>
      </w:r>
      <w:proofErr w:type="spellStart"/>
      <w:r w:rsidRPr="00655AA3">
        <w:rPr>
          <w:rFonts w:ascii="Arial" w:eastAsia="MS Mincho" w:hAnsi="Arial" w:cs="Arial"/>
          <w:sz w:val="24"/>
          <w:szCs w:val="24"/>
          <w:lang w:val="en-US" w:eastAsia="ja-JP"/>
        </w:rPr>
        <w:t>Kwena</w:t>
      </w:r>
      <w:proofErr w:type="spellEnd"/>
      <w:r w:rsidRPr="00655AA3">
        <w:rPr>
          <w:rFonts w:ascii="Arial" w:eastAsia="MS Mincho" w:hAnsi="Arial" w:cs="Arial"/>
          <w:sz w:val="24"/>
          <w:szCs w:val="24"/>
          <w:lang w:val="en-US" w:eastAsia="ja-JP"/>
        </w:rPr>
        <w:t xml:space="preserve"> Basin by focusing on the quality of teaching and learning. The Basic Concepts Programme (BCP) </w:t>
      </w:r>
      <w:r>
        <w:rPr>
          <w:rFonts w:ascii="Arial" w:eastAsia="MS Mincho" w:hAnsi="Arial" w:cs="Arial"/>
          <w:sz w:val="24"/>
          <w:szCs w:val="24"/>
          <w:lang w:val="en-US" w:eastAsia="ja-JP"/>
        </w:rPr>
        <w:t>is being</w:t>
      </w:r>
      <w:r w:rsidRPr="00655AA3">
        <w:rPr>
          <w:rFonts w:ascii="Arial" w:eastAsia="MS Mincho" w:hAnsi="Arial" w:cs="Arial"/>
          <w:sz w:val="24"/>
          <w:szCs w:val="24"/>
          <w:lang w:val="en-US" w:eastAsia="ja-JP"/>
        </w:rPr>
        <w:t xml:space="preserve"> used as a common approach to develop and extend the prerequisites for learning in English (First Additional Language). The teachers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trained as mediators of the BCP and </w:t>
      </w:r>
      <w:r>
        <w:rPr>
          <w:rFonts w:ascii="Arial" w:eastAsia="MS Mincho" w:hAnsi="Arial" w:cs="Arial"/>
          <w:sz w:val="24"/>
          <w:szCs w:val="24"/>
          <w:lang w:val="en-US" w:eastAsia="ja-JP"/>
        </w:rPr>
        <w:t>are</w:t>
      </w:r>
      <w:r w:rsidRPr="00655AA3">
        <w:rPr>
          <w:rFonts w:ascii="Arial" w:eastAsia="MS Mincho" w:hAnsi="Arial" w:cs="Arial"/>
          <w:sz w:val="24"/>
          <w:szCs w:val="24"/>
          <w:lang w:val="en-US" w:eastAsia="ja-JP"/>
        </w:rPr>
        <w:t xml:space="preserve"> receiv</w:t>
      </w:r>
      <w:r>
        <w:rPr>
          <w:rFonts w:ascii="Arial" w:eastAsia="MS Mincho" w:hAnsi="Arial" w:cs="Arial"/>
          <w:sz w:val="24"/>
          <w:szCs w:val="24"/>
          <w:lang w:val="en-US" w:eastAsia="ja-JP"/>
        </w:rPr>
        <w:t>ing</w:t>
      </w:r>
      <w:r w:rsidRPr="00655AA3">
        <w:rPr>
          <w:rFonts w:ascii="Arial" w:eastAsia="MS Mincho" w:hAnsi="Arial" w:cs="Arial"/>
          <w:sz w:val="24"/>
          <w:szCs w:val="24"/>
          <w:lang w:val="en-US" w:eastAsia="ja-JP"/>
        </w:rPr>
        <w:t xml:space="preserve"> ongoing mentorship and support during the project. </w:t>
      </w:r>
    </w:p>
    <w:p w:rsidR="000B3A2D" w:rsidRPr="00655AA3" w:rsidRDefault="000B3A2D" w:rsidP="00655AA3">
      <w:pPr>
        <w:spacing w:after="0" w:line="240" w:lineRule="auto"/>
        <w:rPr>
          <w:rFonts w:ascii="Arial" w:eastAsia="MS Mincho" w:hAnsi="Arial" w:cs="Arial"/>
          <w:sz w:val="24"/>
          <w:szCs w:val="24"/>
          <w:lang w:val="en-US" w:eastAsia="ja-JP"/>
        </w:rPr>
      </w:pPr>
    </w:p>
    <w:p w:rsidR="000B3A2D" w:rsidRPr="00655AA3" w:rsidRDefault="000B3A2D" w:rsidP="00655AA3">
      <w:pPr>
        <w:spacing w:after="0" w:line="240" w:lineRule="auto"/>
        <w:rPr>
          <w:rFonts w:ascii="Arial" w:eastAsia="MS Mincho" w:hAnsi="Arial" w:cs="Arial"/>
          <w:b/>
          <w:sz w:val="24"/>
          <w:szCs w:val="24"/>
          <w:lang w:val="en-US" w:eastAsia="ja-JP"/>
        </w:rPr>
      </w:pPr>
      <w:r w:rsidRPr="00655AA3">
        <w:rPr>
          <w:rFonts w:ascii="Arial" w:eastAsia="MS Mincho" w:hAnsi="Arial" w:cs="Arial"/>
          <w:b/>
          <w:sz w:val="24"/>
          <w:szCs w:val="24"/>
          <w:lang w:val="en-US" w:eastAsia="ja-JP"/>
        </w:rPr>
        <w:t>Measurement and Evaluation</w:t>
      </w:r>
      <w:r w:rsidR="00111D3B" w:rsidRPr="00111D3B">
        <w:t xml:space="preserve"> </w:t>
      </w:r>
    </w:p>
    <w:p w:rsidR="000B3A2D" w:rsidRPr="00655AA3" w:rsidRDefault="000B3A2D" w:rsidP="00E51D97">
      <w:pPr>
        <w:spacing w:after="0" w:line="360" w:lineRule="auto"/>
        <w:jc w:val="both"/>
        <w:rPr>
          <w:rFonts w:ascii="Arial" w:eastAsia="MS Mincho" w:hAnsi="Arial" w:cs="Arial"/>
          <w:sz w:val="24"/>
          <w:szCs w:val="24"/>
          <w:lang w:val="en-US" w:eastAsia="ja-JP"/>
        </w:rPr>
      </w:pPr>
      <w:r w:rsidRPr="00655AA3">
        <w:rPr>
          <w:rFonts w:ascii="Arial" w:eastAsia="MS Mincho" w:hAnsi="Arial" w:cs="Arial"/>
          <w:sz w:val="24"/>
          <w:szCs w:val="24"/>
          <w:lang w:val="en-US" w:eastAsia="ja-JP"/>
        </w:rPr>
        <w:t xml:space="preserve">A number of measures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used to evaluate the intervention and the project.  Learners’ knowledge of basic conceptual systems </w:t>
      </w:r>
      <w:r>
        <w:rPr>
          <w:rFonts w:ascii="Arial" w:eastAsia="MS Mincho" w:hAnsi="Arial" w:cs="Arial"/>
          <w:sz w:val="24"/>
          <w:szCs w:val="24"/>
          <w:lang w:val="en-US" w:eastAsia="ja-JP"/>
        </w:rPr>
        <w:t>is being</w:t>
      </w:r>
      <w:r w:rsidRPr="00655AA3">
        <w:rPr>
          <w:rFonts w:ascii="Arial" w:eastAsia="MS Mincho" w:hAnsi="Arial" w:cs="Arial"/>
          <w:sz w:val="24"/>
          <w:szCs w:val="24"/>
          <w:lang w:val="en-US" w:eastAsia="ja-JP"/>
        </w:rPr>
        <w:t xml:space="preserve"> assessed on an annual basis. The results of the </w:t>
      </w:r>
      <w:r w:rsidRPr="00655AA3">
        <w:rPr>
          <w:rFonts w:ascii="Arial" w:eastAsia="MS Mincho" w:hAnsi="Arial" w:cs="Arial"/>
          <w:i/>
          <w:sz w:val="24"/>
          <w:szCs w:val="24"/>
          <w:lang w:val="en-US" w:eastAsia="ja-JP"/>
        </w:rPr>
        <w:t>Test of Basic Concepts Knowledge</w:t>
      </w:r>
      <w:r w:rsidRPr="00655AA3">
        <w:rPr>
          <w:rFonts w:ascii="Arial" w:eastAsia="MS Mincho" w:hAnsi="Arial" w:cs="Arial"/>
          <w:sz w:val="24"/>
          <w:szCs w:val="24"/>
          <w:lang w:val="en-US" w:eastAsia="ja-JP"/>
        </w:rPr>
        <w:t xml:space="preserve"> in Grades 1-3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compared with the baseline data on an annual basis. </w:t>
      </w:r>
      <w:r>
        <w:rPr>
          <w:rFonts w:ascii="Arial" w:eastAsia="MS Mincho" w:hAnsi="Arial" w:cs="Arial"/>
          <w:sz w:val="24"/>
          <w:szCs w:val="24"/>
          <w:lang w:val="en-US" w:eastAsia="ja-JP"/>
        </w:rPr>
        <w:t xml:space="preserve">The learners’ </w:t>
      </w:r>
      <w:r w:rsidRPr="00A237B5">
        <w:rPr>
          <w:rFonts w:ascii="Arial" w:eastAsia="MS Mincho" w:hAnsi="Arial" w:cs="Arial"/>
          <w:sz w:val="24"/>
          <w:szCs w:val="24"/>
          <w:lang w:val="en-US" w:eastAsia="ja-JP"/>
        </w:rPr>
        <w:t xml:space="preserve">literacy knowledge </w:t>
      </w:r>
      <w:r>
        <w:rPr>
          <w:rFonts w:ascii="Arial" w:eastAsia="MS Mincho" w:hAnsi="Arial" w:cs="Arial"/>
          <w:sz w:val="24"/>
          <w:szCs w:val="24"/>
          <w:lang w:val="en-US" w:eastAsia="ja-JP"/>
        </w:rPr>
        <w:t xml:space="preserve">is also being assessed on an annual basis in Grades 3 - 4. The results of the </w:t>
      </w:r>
      <w:r w:rsidRPr="00655AA3">
        <w:rPr>
          <w:rFonts w:ascii="Arial" w:eastAsia="MS Mincho" w:hAnsi="Arial" w:cs="Arial"/>
          <w:i/>
          <w:sz w:val="24"/>
          <w:szCs w:val="24"/>
          <w:lang w:val="en-US" w:eastAsia="ja-JP"/>
        </w:rPr>
        <w:t>Word Test</w:t>
      </w:r>
      <w:r>
        <w:rPr>
          <w:rFonts w:ascii="Arial" w:eastAsia="MS Mincho" w:hAnsi="Arial" w:cs="Arial"/>
          <w:i/>
          <w:sz w:val="24"/>
          <w:szCs w:val="24"/>
          <w:lang w:val="en-US" w:eastAsia="ja-JP"/>
        </w:rPr>
        <w:t xml:space="preserve"> </w:t>
      </w:r>
      <w:r w:rsidRPr="00CF1D51">
        <w:rPr>
          <w:rFonts w:ascii="Arial" w:eastAsia="MS Mincho" w:hAnsi="Arial" w:cs="Arial"/>
          <w:sz w:val="24"/>
          <w:szCs w:val="24"/>
          <w:lang w:val="en-US" w:eastAsia="ja-JP"/>
        </w:rPr>
        <w:t>are being</w:t>
      </w:r>
      <w:r>
        <w:rPr>
          <w:rFonts w:ascii="Arial" w:eastAsia="MS Mincho" w:hAnsi="Arial" w:cs="Arial"/>
          <w:sz w:val="24"/>
          <w:szCs w:val="24"/>
          <w:lang w:val="en-US" w:eastAsia="ja-JP"/>
        </w:rPr>
        <w:t xml:space="preserve"> compared with the baseline data on an annual basis. The decision was taken to include Grade 4 learners in the evaluation (even though the project is focused on the Foundation Phase) in order to assess the delayed effects of the project. This is particularly important for learners in Grade 4 who are being taught with English as the language of instruction and learning</w:t>
      </w:r>
      <w:r w:rsidR="00111D3B">
        <w:rPr>
          <w:rFonts w:ascii="Arial" w:eastAsia="MS Mincho" w:hAnsi="Arial" w:cs="Arial"/>
          <w:sz w:val="24"/>
          <w:szCs w:val="24"/>
          <w:lang w:val="en-US" w:eastAsia="ja-JP"/>
        </w:rPr>
        <w:t xml:space="preserve"> </w:t>
      </w:r>
      <w:r w:rsidR="00111D3B" w:rsidRPr="00111D3B">
        <w:rPr>
          <w:rFonts w:ascii="Arial" w:eastAsia="MS Mincho" w:hAnsi="Arial" w:cs="Arial"/>
          <w:sz w:val="24"/>
          <w:szCs w:val="24"/>
          <w:lang w:val="en-US" w:eastAsia="ja-JP"/>
        </w:rPr>
        <w:t>for the first time</w:t>
      </w:r>
      <w:r>
        <w:rPr>
          <w:rFonts w:ascii="Arial" w:eastAsia="MS Mincho" w:hAnsi="Arial" w:cs="Arial"/>
          <w:sz w:val="24"/>
          <w:szCs w:val="24"/>
          <w:lang w:val="en-US" w:eastAsia="ja-JP"/>
        </w:rPr>
        <w:t xml:space="preserve">. </w:t>
      </w:r>
      <w:r w:rsidR="00B31600">
        <w:rPr>
          <w:rFonts w:ascii="Arial" w:eastAsia="MS Mincho" w:hAnsi="Arial" w:cs="Arial"/>
          <w:sz w:val="24"/>
          <w:szCs w:val="24"/>
          <w:lang w:val="en-US" w:eastAsia="ja-JP"/>
        </w:rPr>
        <w:t>T</w:t>
      </w:r>
      <w:r w:rsidRPr="00655AA3">
        <w:rPr>
          <w:rFonts w:ascii="Arial" w:eastAsia="MS Mincho" w:hAnsi="Arial" w:cs="Arial"/>
          <w:sz w:val="24"/>
          <w:szCs w:val="24"/>
          <w:lang w:val="en-US" w:eastAsia="ja-JP"/>
        </w:rPr>
        <w:t>h</w:t>
      </w:r>
      <w:r>
        <w:rPr>
          <w:rFonts w:ascii="Arial" w:eastAsia="MS Mincho" w:hAnsi="Arial" w:cs="Arial"/>
          <w:sz w:val="24"/>
          <w:szCs w:val="24"/>
          <w:lang w:val="en-US" w:eastAsia="ja-JP"/>
        </w:rPr>
        <w:t>e current</w:t>
      </w:r>
      <w:r w:rsidRPr="00655AA3">
        <w:rPr>
          <w:rFonts w:ascii="Arial" w:eastAsia="MS Mincho" w:hAnsi="Arial" w:cs="Arial"/>
          <w:sz w:val="24"/>
          <w:szCs w:val="24"/>
          <w:lang w:val="en-US" w:eastAsia="ja-JP"/>
        </w:rPr>
        <w:t xml:space="preserve"> report </w:t>
      </w:r>
      <w:r w:rsidR="00B31600">
        <w:rPr>
          <w:rFonts w:ascii="Arial" w:eastAsia="MS Mincho" w:hAnsi="Arial" w:cs="Arial"/>
          <w:sz w:val="24"/>
          <w:szCs w:val="24"/>
          <w:lang w:val="en-US" w:eastAsia="ja-JP"/>
        </w:rPr>
        <w:t>will</w:t>
      </w:r>
      <w:r>
        <w:rPr>
          <w:rFonts w:ascii="Arial" w:eastAsia="MS Mincho" w:hAnsi="Arial" w:cs="Arial"/>
          <w:sz w:val="24"/>
          <w:szCs w:val="24"/>
          <w:lang w:val="en-US" w:eastAsia="ja-JP"/>
        </w:rPr>
        <w:t xml:space="preserve"> compare the data gathered at baseline in 2014 with </w:t>
      </w:r>
      <w:r w:rsidR="00B31600">
        <w:rPr>
          <w:rFonts w:ascii="Arial" w:eastAsia="MS Mincho" w:hAnsi="Arial" w:cs="Arial"/>
          <w:sz w:val="24"/>
          <w:szCs w:val="24"/>
          <w:lang w:val="en-US" w:eastAsia="ja-JP"/>
        </w:rPr>
        <w:t>that</w:t>
      </w:r>
      <w:r>
        <w:rPr>
          <w:rFonts w:ascii="Arial" w:eastAsia="MS Mincho" w:hAnsi="Arial" w:cs="Arial"/>
          <w:sz w:val="24"/>
          <w:szCs w:val="24"/>
          <w:lang w:val="en-US" w:eastAsia="ja-JP"/>
        </w:rPr>
        <w:t xml:space="preserve"> gathered after </w:t>
      </w:r>
      <w:r w:rsidR="00E51D97">
        <w:rPr>
          <w:rFonts w:ascii="Arial" w:eastAsia="MS Mincho" w:hAnsi="Arial" w:cs="Arial"/>
          <w:sz w:val="24"/>
          <w:szCs w:val="24"/>
          <w:lang w:val="en-US" w:eastAsia="ja-JP"/>
        </w:rPr>
        <w:t>4</w:t>
      </w:r>
      <w:r w:rsidR="00AE38D0">
        <w:rPr>
          <w:rFonts w:ascii="Arial" w:eastAsia="MS Mincho" w:hAnsi="Arial" w:cs="Arial"/>
          <w:sz w:val="24"/>
          <w:szCs w:val="24"/>
          <w:lang w:val="en-US" w:eastAsia="ja-JP"/>
        </w:rPr>
        <w:t xml:space="preserve"> </w:t>
      </w:r>
      <w:r>
        <w:rPr>
          <w:rFonts w:ascii="Arial" w:eastAsia="MS Mincho" w:hAnsi="Arial" w:cs="Arial"/>
          <w:sz w:val="24"/>
          <w:szCs w:val="24"/>
          <w:lang w:val="en-US" w:eastAsia="ja-JP"/>
        </w:rPr>
        <w:t>years of intervention (2015, 2016</w:t>
      </w:r>
      <w:r w:rsidR="00E51D97">
        <w:rPr>
          <w:rFonts w:ascii="Arial" w:eastAsia="MS Mincho" w:hAnsi="Arial" w:cs="Arial"/>
          <w:sz w:val="24"/>
          <w:szCs w:val="24"/>
          <w:lang w:val="en-US" w:eastAsia="ja-JP"/>
        </w:rPr>
        <w:t>,</w:t>
      </w:r>
      <w:r w:rsidR="00AE38D0">
        <w:rPr>
          <w:rFonts w:ascii="Arial" w:eastAsia="MS Mincho" w:hAnsi="Arial" w:cs="Arial"/>
          <w:sz w:val="24"/>
          <w:szCs w:val="24"/>
          <w:lang w:val="en-US" w:eastAsia="ja-JP"/>
        </w:rPr>
        <w:t xml:space="preserve"> 2017</w:t>
      </w:r>
      <w:r w:rsidR="00E51D97">
        <w:rPr>
          <w:rFonts w:ascii="Arial" w:eastAsia="MS Mincho" w:hAnsi="Arial" w:cs="Arial"/>
          <w:sz w:val="24"/>
          <w:szCs w:val="24"/>
          <w:lang w:val="en-US" w:eastAsia="ja-JP"/>
        </w:rPr>
        <w:t xml:space="preserve"> and 2018</w:t>
      </w:r>
      <w:r>
        <w:rPr>
          <w:rFonts w:ascii="Arial" w:eastAsia="MS Mincho" w:hAnsi="Arial" w:cs="Arial"/>
          <w:sz w:val="24"/>
          <w:szCs w:val="24"/>
          <w:lang w:val="en-US" w:eastAsia="ja-JP"/>
        </w:rPr>
        <w:t xml:space="preserve">). Data </w:t>
      </w:r>
      <w:r w:rsidR="00B31600">
        <w:rPr>
          <w:rFonts w:ascii="Arial" w:eastAsia="MS Mincho" w:hAnsi="Arial" w:cs="Arial"/>
          <w:sz w:val="24"/>
          <w:szCs w:val="24"/>
          <w:lang w:val="en-US" w:eastAsia="ja-JP"/>
        </w:rPr>
        <w:t>has been</w:t>
      </w:r>
      <w:r>
        <w:rPr>
          <w:rFonts w:ascii="Arial" w:eastAsia="MS Mincho" w:hAnsi="Arial" w:cs="Arial"/>
          <w:sz w:val="24"/>
          <w:szCs w:val="24"/>
          <w:lang w:val="en-US" w:eastAsia="ja-JP"/>
        </w:rPr>
        <w:t xml:space="preserve"> gathered towards the end of the third term every year.</w:t>
      </w:r>
    </w:p>
    <w:p w:rsidR="000B3A2D" w:rsidRPr="00840945" w:rsidRDefault="000B3A2D" w:rsidP="00F86510">
      <w:pPr>
        <w:spacing w:after="0" w:line="360" w:lineRule="auto"/>
        <w:jc w:val="both"/>
        <w:rPr>
          <w:rFonts w:ascii="Arial" w:eastAsia="MS Mincho" w:hAnsi="Arial" w:cs="Arial"/>
          <w:sz w:val="24"/>
          <w:szCs w:val="24"/>
          <w:lang w:val="en-US" w:eastAsia="ja-JP"/>
        </w:rPr>
      </w:pPr>
      <w:r w:rsidRPr="00840945">
        <w:rPr>
          <w:rFonts w:ascii="Arial" w:eastAsia="MS Mincho" w:hAnsi="Arial" w:cs="Arial"/>
          <w:b/>
          <w:sz w:val="24"/>
          <w:szCs w:val="24"/>
          <w:lang w:val="en-US" w:eastAsia="ja-JP"/>
        </w:rPr>
        <w:lastRenderedPageBreak/>
        <w:t>Test Instrument:</w:t>
      </w:r>
      <w:r w:rsidRPr="00840945">
        <w:rPr>
          <w:rFonts w:ascii="Arial" w:eastAsia="MS Mincho" w:hAnsi="Arial" w:cs="Arial"/>
          <w:sz w:val="24"/>
          <w:szCs w:val="24"/>
          <w:lang w:val="en-US" w:eastAsia="ja-JP"/>
        </w:rPr>
        <w:t xml:space="preserve"> </w:t>
      </w:r>
      <w:r>
        <w:rPr>
          <w:rFonts w:ascii="Arial" w:eastAsia="MS Mincho" w:hAnsi="Arial" w:cs="Arial"/>
          <w:sz w:val="24"/>
          <w:szCs w:val="24"/>
          <w:lang w:val="en-US" w:eastAsia="ja-JP"/>
        </w:rPr>
        <w:t>Word Test</w:t>
      </w:r>
    </w:p>
    <w:p w:rsidR="000B3A2D" w:rsidRDefault="000B3A2D" w:rsidP="00FA0D23">
      <w:pPr>
        <w:spacing w:line="360" w:lineRule="auto"/>
        <w:jc w:val="both"/>
        <w:rPr>
          <w:rFonts w:ascii="Arial" w:hAnsi="Arial" w:cs="Arial"/>
          <w:sz w:val="24"/>
        </w:rPr>
      </w:pPr>
      <w:r>
        <w:rPr>
          <w:rFonts w:ascii="Arial" w:hAnsi="Arial" w:cs="Arial"/>
          <w:sz w:val="24"/>
        </w:rPr>
        <w:t>The Word Test is a</w:t>
      </w:r>
      <w:r w:rsidRPr="00D70A24">
        <w:rPr>
          <w:rFonts w:ascii="Arial" w:hAnsi="Arial" w:cs="Arial"/>
          <w:sz w:val="24"/>
        </w:rPr>
        <w:t xml:space="preserve"> literacy test designed to determine the number of words written </w:t>
      </w:r>
      <w:r>
        <w:rPr>
          <w:rFonts w:ascii="Arial" w:hAnsi="Arial" w:cs="Arial"/>
          <w:sz w:val="24"/>
        </w:rPr>
        <w:t xml:space="preserve">by learners </w:t>
      </w:r>
      <w:r w:rsidRPr="00D70A24">
        <w:rPr>
          <w:rFonts w:ascii="Arial" w:hAnsi="Arial" w:cs="Arial"/>
          <w:sz w:val="24"/>
        </w:rPr>
        <w:t>in 15 minutes.</w:t>
      </w:r>
      <w:r>
        <w:rPr>
          <w:rFonts w:ascii="Arial" w:hAnsi="Arial" w:cs="Arial"/>
          <w:sz w:val="24"/>
        </w:rPr>
        <w:t xml:space="preserve"> In this project the words are written in English.</w:t>
      </w:r>
      <w:r w:rsidRPr="00D70A24">
        <w:rPr>
          <w:rFonts w:ascii="Arial" w:hAnsi="Arial" w:cs="Arial"/>
          <w:sz w:val="24"/>
        </w:rPr>
        <w:t xml:space="preserve"> Children are encouraged to continue writing until the end of the test, but they are not rushed. </w:t>
      </w:r>
      <w:r>
        <w:rPr>
          <w:rFonts w:ascii="Arial" w:hAnsi="Arial" w:cs="Arial"/>
          <w:sz w:val="24"/>
        </w:rPr>
        <w:t xml:space="preserve">Spelling errors and </w:t>
      </w:r>
      <w:r w:rsidR="006A77E8">
        <w:rPr>
          <w:rFonts w:ascii="Arial" w:hAnsi="Arial" w:cs="Arial"/>
          <w:sz w:val="24"/>
        </w:rPr>
        <w:t>w</w:t>
      </w:r>
      <w:r>
        <w:rPr>
          <w:rFonts w:ascii="Arial" w:hAnsi="Arial" w:cs="Arial"/>
          <w:sz w:val="24"/>
        </w:rPr>
        <w:t xml:space="preserve">ords classified as non-sense words are subtracted from the total number of words written during the test. Non-sense words include words that:          </w:t>
      </w:r>
      <w:proofErr w:type="spellStart"/>
      <w:r>
        <w:rPr>
          <w:rFonts w:ascii="Arial" w:hAnsi="Arial" w:cs="Arial"/>
          <w:sz w:val="24"/>
        </w:rPr>
        <w:t>i</w:t>
      </w:r>
      <w:proofErr w:type="spellEnd"/>
      <w:r>
        <w:rPr>
          <w:rFonts w:ascii="Arial" w:hAnsi="Arial" w:cs="Arial"/>
          <w:sz w:val="24"/>
        </w:rPr>
        <w:t xml:space="preserve">) cannot be decoded, ii) are repeated in the test, and iii) have more than 2 spelling errors. </w:t>
      </w:r>
      <w:r w:rsidRPr="00FA0D23">
        <w:rPr>
          <w:rFonts w:ascii="Arial" w:hAnsi="Arial" w:cs="Arial"/>
          <w:sz w:val="24"/>
          <w:szCs w:val="24"/>
        </w:rPr>
        <w:t xml:space="preserve">The Word </w:t>
      </w:r>
      <w:r>
        <w:rPr>
          <w:rFonts w:ascii="Arial" w:hAnsi="Arial" w:cs="Arial"/>
          <w:sz w:val="24"/>
          <w:szCs w:val="24"/>
        </w:rPr>
        <w:t>T</w:t>
      </w:r>
      <w:r w:rsidRPr="00FA0D23">
        <w:rPr>
          <w:rFonts w:ascii="Arial" w:hAnsi="Arial" w:cs="Arial"/>
          <w:sz w:val="24"/>
          <w:szCs w:val="24"/>
        </w:rPr>
        <w:t xml:space="preserve">est is a direct measure of vocabulary development and early word writing skills. </w:t>
      </w:r>
      <w:r>
        <w:rPr>
          <w:rFonts w:ascii="Arial" w:hAnsi="Arial" w:cs="Arial"/>
          <w:sz w:val="24"/>
          <w:szCs w:val="24"/>
        </w:rPr>
        <w:t>It</w:t>
      </w:r>
      <w:r w:rsidRPr="00FA0D23">
        <w:rPr>
          <w:rFonts w:ascii="Arial" w:hAnsi="Arial" w:cs="Arial"/>
          <w:sz w:val="24"/>
          <w:szCs w:val="24"/>
        </w:rPr>
        <w:t xml:space="preserve"> is also reasonable to assume that most words that</w:t>
      </w:r>
      <w:r>
        <w:rPr>
          <w:rFonts w:ascii="Arial" w:hAnsi="Arial" w:cs="Arial"/>
          <w:sz w:val="24"/>
          <w:szCs w:val="24"/>
        </w:rPr>
        <w:t xml:space="preserve"> can be written by a learner could also be read by that </w:t>
      </w:r>
      <w:r w:rsidRPr="00FA0D23">
        <w:rPr>
          <w:rFonts w:ascii="Arial" w:hAnsi="Arial" w:cs="Arial"/>
          <w:sz w:val="24"/>
          <w:szCs w:val="24"/>
        </w:rPr>
        <w:t>learner</w:t>
      </w:r>
      <w:r>
        <w:rPr>
          <w:rFonts w:ascii="Arial" w:hAnsi="Arial" w:cs="Arial"/>
          <w:sz w:val="24"/>
          <w:szCs w:val="24"/>
        </w:rPr>
        <w:t>.</w:t>
      </w:r>
      <w:r>
        <w:rPr>
          <w:rFonts w:ascii="Arial" w:hAnsi="Arial" w:cs="Arial"/>
          <w:sz w:val="24"/>
        </w:rPr>
        <w:t xml:space="preserve"> The Word Test is based on a similar measure developed by </w:t>
      </w:r>
      <w:hyperlink r:id="rId8" w:history="1">
        <w:r w:rsidRPr="00FA0D23">
          <w:rPr>
            <w:rStyle w:val="Hyperlink"/>
            <w:rFonts w:ascii="Arial" w:hAnsi="Arial" w:cs="Arial"/>
            <w:sz w:val="24"/>
          </w:rPr>
          <w:t>Marie Clay</w:t>
        </w:r>
      </w:hyperlink>
      <w:r>
        <w:rPr>
          <w:rFonts w:ascii="Arial" w:hAnsi="Arial" w:cs="Arial"/>
          <w:sz w:val="24"/>
        </w:rPr>
        <w:t xml:space="preserve"> (1985).</w:t>
      </w:r>
    </w:p>
    <w:p w:rsidR="000B3A2D" w:rsidRDefault="000B3A2D">
      <w:pPr>
        <w:rPr>
          <w:rFonts w:ascii="Arial" w:hAnsi="Arial" w:cs="Arial"/>
          <w:b/>
          <w:sz w:val="24"/>
        </w:rPr>
      </w:pPr>
    </w:p>
    <w:p w:rsidR="000B3A2D" w:rsidRDefault="000B3A2D">
      <w:pPr>
        <w:rPr>
          <w:rFonts w:ascii="Arial" w:hAnsi="Arial" w:cs="Arial"/>
          <w:b/>
          <w:sz w:val="24"/>
        </w:rPr>
      </w:pPr>
      <w:r>
        <w:rPr>
          <w:rFonts w:ascii="Arial" w:hAnsi="Arial" w:cs="Arial"/>
          <w:b/>
          <w:sz w:val="24"/>
        </w:rPr>
        <w:t>Method:</w:t>
      </w:r>
    </w:p>
    <w:p w:rsidR="000B3A2D" w:rsidRDefault="000B3A2D" w:rsidP="00AE65C7">
      <w:pPr>
        <w:spacing w:line="360" w:lineRule="auto"/>
        <w:jc w:val="both"/>
        <w:rPr>
          <w:rFonts w:ascii="Arial" w:hAnsi="Arial" w:cs="Arial"/>
          <w:sz w:val="24"/>
        </w:rPr>
      </w:pPr>
      <w:r>
        <w:rPr>
          <w:rFonts w:ascii="Arial" w:hAnsi="Arial" w:cs="Arial"/>
          <w:sz w:val="24"/>
        </w:rPr>
        <w:t xml:space="preserve">Data was gathered from 3 of the 4 project schools in 2014 and 2015. In 2014 data was gathered from Enkeldoorn, </w:t>
      </w:r>
      <w:proofErr w:type="spellStart"/>
      <w:r>
        <w:rPr>
          <w:rFonts w:ascii="Arial" w:hAnsi="Arial" w:cs="Arial"/>
          <w:sz w:val="24"/>
        </w:rPr>
        <w:t>Umthombophile</w:t>
      </w:r>
      <w:proofErr w:type="spellEnd"/>
      <w:r>
        <w:rPr>
          <w:rFonts w:ascii="Arial" w:hAnsi="Arial" w:cs="Arial"/>
          <w:sz w:val="24"/>
        </w:rPr>
        <w:t xml:space="preserve">, and Klipspruit, while in 2015 </w:t>
      </w:r>
      <w:r w:rsidR="00383616">
        <w:rPr>
          <w:rFonts w:ascii="Arial" w:hAnsi="Arial" w:cs="Arial"/>
          <w:sz w:val="24"/>
        </w:rPr>
        <w:t>this was done at</w:t>
      </w:r>
      <w:r>
        <w:rPr>
          <w:rFonts w:ascii="Arial" w:hAnsi="Arial" w:cs="Arial"/>
          <w:sz w:val="24"/>
        </w:rPr>
        <w:t xml:space="preserve"> Enkeldoorn, </w:t>
      </w:r>
      <w:proofErr w:type="spellStart"/>
      <w:r>
        <w:rPr>
          <w:rFonts w:ascii="Arial" w:hAnsi="Arial" w:cs="Arial"/>
          <w:sz w:val="24"/>
        </w:rPr>
        <w:t>Umthombophile</w:t>
      </w:r>
      <w:proofErr w:type="spellEnd"/>
      <w:r>
        <w:rPr>
          <w:rFonts w:ascii="Arial" w:hAnsi="Arial" w:cs="Arial"/>
          <w:sz w:val="24"/>
        </w:rPr>
        <w:t xml:space="preserve"> and Phakama.</w:t>
      </w:r>
      <w:r w:rsidR="000D4E74" w:rsidRPr="000D4E74">
        <w:rPr>
          <w:rFonts w:ascii="Arial" w:hAnsi="Arial" w:cs="Arial"/>
          <w:sz w:val="24"/>
        </w:rPr>
        <w:t xml:space="preserve"> </w:t>
      </w:r>
      <w:r w:rsidR="00AE65C7">
        <w:rPr>
          <w:rFonts w:ascii="Arial" w:hAnsi="Arial" w:cs="Arial"/>
          <w:sz w:val="24"/>
        </w:rPr>
        <w:t xml:space="preserve"> </w:t>
      </w:r>
      <w:r w:rsidR="00383616">
        <w:rPr>
          <w:rFonts w:ascii="Arial" w:hAnsi="Arial" w:cs="Arial"/>
          <w:sz w:val="24"/>
        </w:rPr>
        <w:t>F</w:t>
      </w:r>
      <w:r w:rsidR="00AE65C7">
        <w:rPr>
          <w:rFonts w:ascii="Arial" w:hAnsi="Arial" w:cs="Arial"/>
          <w:sz w:val="24"/>
        </w:rPr>
        <w:t>rom</w:t>
      </w:r>
      <w:r w:rsidR="000D4E74">
        <w:rPr>
          <w:rFonts w:ascii="Arial" w:hAnsi="Arial" w:cs="Arial"/>
          <w:sz w:val="24"/>
        </w:rPr>
        <w:t xml:space="preserve"> 2016</w:t>
      </w:r>
      <w:r w:rsidR="00DF436D">
        <w:rPr>
          <w:rFonts w:ascii="Arial" w:hAnsi="Arial" w:cs="Arial"/>
          <w:sz w:val="24"/>
        </w:rPr>
        <w:t xml:space="preserve"> </w:t>
      </w:r>
      <w:r w:rsidR="00A97A42">
        <w:rPr>
          <w:rFonts w:ascii="Arial" w:hAnsi="Arial" w:cs="Arial"/>
          <w:sz w:val="24"/>
        </w:rPr>
        <w:t xml:space="preserve">to </w:t>
      </w:r>
      <w:r w:rsidR="00DF436D">
        <w:rPr>
          <w:rFonts w:ascii="Arial" w:hAnsi="Arial" w:cs="Arial"/>
          <w:sz w:val="24"/>
        </w:rPr>
        <w:t>201</w:t>
      </w:r>
      <w:r w:rsidR="00A97A42">
        <w:rPr>
          <w:rFonts w:ascii="Arial" w:hAnsi="Arial" w:cs="Arial"/>
          <w:sz w:val="24"/>
        </w:rPr>
        <w:t>8</w:t>
      </w:r>
      <w:r w:rsidR="000D4E74">
        <w:rPr>
          <w:rFonts w:ascii="Arial" w:hAnsi="Arial" w:cs="Arial"/>
          <w:sz w:val="24"/>
        </w:rPr>
        <w:t xml:space="preserve"> data was gathered </w:t>
      </w:r>
      <w:r w:rsidR="00383616">
        <w:rPr>
          <w:rFonts w:ascii="Arial" w:hAnsi="Arial" w:cs="Arial"/>
          <w:sz w:val="24"/>
        </w:rPr>
        <w:t>at</w:t>
      </w:r>
      <w:r w:rsidR="000D4E74">
        <w:rPr>
          <w:rFonts w:ascii="Arial" w:hAnsi="Arial" w:cs="Arial"/>
          <w:sz w:val="24"/>
        </w:rPr>
        <w:t xml:space="preserve"> all 4 project schools. </w:t>
      </w:r>
      <w:r w:rsidR="002E3049">
        <w:rPr>
          <w:rFonts w:ascii="Arial" w:hAnsi="Arial" w:cs="Arial"/>
          <w:sz w:val="24"/>
        </w:rPr>
        <w:t>T</w:t>
      </w:r>
      <w:r w:rsidR="00547FD5">
        <w:rPr>
          <w:rFonts w:ascii="Arial" w:hAnsi="Arial" w:cs="Arial"/>
          <w:sz w:val="24"/>
        </w:rPr>
        <w:t xml:space="preserve">he data </w:t>
      </w:r>
      <w:r w:rsidR="002E3049">
        <w:rPr>
          <w:rFonts w:ascii="Arial" w:hAnsi="Arial" w:cs="Arial"/>
          <w:sz w:val="24"/>
        </w:rPr>
        <w:t>is therefore</w:t>
      </w:r>
      <w:r w:rsidR="00547FD5">
        <w:rPr>
          <w:rFonts w:ascii="Arial" w:hAnsi="Arial" w:cs="Arial"/>
          <w:sz w:val="24"/>
        </w:rPr>
        <w:t xml:space="preserve"> not </w:t>
      </w:r>
      <w:r w:rsidR="00512AB5">
        <w:rPr>
          <w:rFonts w:ascii="Arial" w:hAnsi="Arial" w:cs="Arial"/>
          <w:sz w:val="24"/>
        </w:rPr>
        <w:t>entirely</w:t>
      </w:r>
      <w:r w:rsidR="00547FD5">
        <w:rPr>
          <w:rFonts w:ascii="Arial" w:hAnsi="Arial" w:cs="Arial"/>
          <w:sz w:val="24"/>
        </w:rPr>
        <w:t xml:space="preserve"> comparable</w:t>
      </w:r>
      <w:r w:rsidR="00D96DCC">
        <w:rPr>
          <w:rFonts w:ascii="Arial" w:hAnsi="Arial" w:cs="Arial"/>
          <w:sz w:val="24"/>
        </w:rPr>
        <w:t xml:space="preserve"> particularly</w:t>
      </w:r>
      <w:r w:rsidR="00547FD5">
        <w:rPr>
          <w:rFonts w:ascii="Arial" w:hAnsi="Arial" w:cs="Arial"/>
          <w:sz w:val="24"/>
        </w:rPr>
        <w:t xml:space="preserve"> when </w:t>
      </w:r>
      <w:r w:rsidR="00421769">
        <w:rPr>
          <w:rFonts w:ascii="Arial" w:hAnsi="Arial" w:cs="Arial"/>
          <w:sz w:val="24"/>
        </w:rPr>
        <w:t>matching</w:t>
      </w:r>
      <w:r w:rsidR="00547FD5">
        <w:rPr>
          <w:rFonts w:ascii="Arial" w:hAnsi="Arial" w:cs="Arial"/>
          <w:sz w:val="24"/>
        </w:rPr>
        <w:t xml:space="preserve"> the average scores in a grade</w:t>
      </w:r>
      <w:r w:rsidR="002E3049">
        <w:rPr>
          <w:rFonts w:ascii="Arial" w:hAnsi="Arial" w:cs="Arial"/>
          <w:sz w:val="24"/>
        </w:rPr>
        <w:t xml:space="preserve"> for different years</w:t>
      </w:r>
      <w:r w:rsidR="00547FD5">
        <w:rPr>
          <w:rFonts w:ascii="Arial" w:hAnsi="Arial" w:cs="Arial"/>
          <w:sz w:val="24"/>
        </w:rPr>
        <w:t>.</w:t>
      </w:r>
      <w:r w:rsidR="00A97A42">
        <w:rPr>
          <w:rFonts w:ascii="Arial" w:hAnsi="Arial" w:cs="Arial"/>
          <w:sz w:val="24"/>
        </w:rPr>
        <w:t xml:space="preserve"> </w:t>
      </w:r>
      <w:r>
        <w:rPr>
          <w:rFonts w:ascii="Arial" w:hAnsi="Arial" w:cs="Arial"/>
          <w:sz w:val="24"/>
        </w:rPr>
        <w:t xml:space="preserve">Comparative data was </w:t>
      </w:r>
      <w:r w:rsidR="00170566">
        <w:rPr>
          <w:rFonts w:ascii="Arial" w:hAnsi="Arial" w:cs="Arial"/>
          <w:sz w:val="24"/>
        </w:rPr>
        <w:t xml:space="preserve">also </w:t>
      </w:r>
      <w:r>
        <w:rPr>
          <w:rFonts w:ascii="Arial" w:hAnsi="Arial" w:cs="Arial"/>
          <w:sz w:val="24"/>
        </w:rPr>
        <w:t>gathered from a school in a socio-economically deprived area of Cape Town</w:t>
      </w:r>
      <w:r w:rsidR="002A34B8">
        <w:rPr>
          <w:rFonts w:ascii="Arial" w:hAnsi="Arial" w:cs="Arial"/>
          <w:sz w:val="24"/>
        </w:rPr>
        <w:t xml:space="preserve"> as well as from a</w:t>
      </w:r>
      <w:r w:rsidR="00383616">
        <w:rPr>
          <w:rFonts w:ascii="Arial" w:hAnsi="Arial" w:cs="Arial"/>
          <w:sz w:val="24"/>
        </w:rPr>
        <w:t>nother</w:t>
      </w:r>
      <w:r w:rsidR="002A34B8">
        <w:rPr>
          <w:rFonts w:ascii="Arial" w:hAnsi="Arial" w:cs="Arial"/>
          <w:sz w:val="24"/>
        </w:rPr>
        <w:t xml:space="preserve"> school within the</w:t>
      </w:r>
      <w:r w:rsidR="00014347">
        <w:rPr>
          <w:rFonts w:ascii="Arial" w:hAnsi="Arial" w:cs="Arial"/>
          <w:sz w:val="24"/>
        </w:rPr>
        <w:t xml:space="preserve"> area of operation of the project. </w:t>
      </w:r>
    </w:p>
    <w:tbl>
      <w:tblPr>
        <w:tblW w:w="4027" w:type="dxa"/>
        <w:jc w:val="center"/>
        <w:tblInd w:w="-360" w:type="dxa"/>
        <w:tblLook w:val="00A0" w:firstRow="1" w:lastRow="0" w:firstColumn="1" w:lastColumn="0" w:noHBand="0" w:noVBand="0"/>
      </w:tblPr>
      <w:tblGrid>
        <w:gridCol w:w="1255"/>
        <w:gridCol w:w="1274"/>
        <w:gridCol w:w="1498"/>
      </w:tblGrid>
      <w:tr w:rsidR="000B3A2D" w:rsidRPr="0009301C" w:rsidTr="002C0886">
        <w:trPr>
          <w:trHeight w:val="255"/>
          <w:jc w:val="center"/>
        </w:trPr>
        <w:tc>
          <w:tcPr>
            <w:tcW w:w="4027" w:type="dxa"/>
            <w:gridSpan w:val="3"/>
            <w:tcBorders>
              <w:top w:val="single" w:sz="4" w:space="0" w:color="auto"/>
              <w:left w:val="single" w:sz="4" w:space="0" w:color="auto"/>
              <w:bottom w:val="single" w:sz="4" w:space="0" w:color="auto"/>
              <w:right w:val="single" w:sz="4" w:space="0" w:color="000000"/>
            </w:tcBorders>
            <w:noWrap/>
            <w:vAlign w:val="bottom"/>
          </w:tcPr>
          <w:p w:rsidR="00A13491" w:rsidRDefault="000B3A2D" w:rsidP="00A13491">
            <w:pPr>
              <w:spacing w:after="0" w:line="360" w:lineRule="auto"/>
              <w:jc w:val="center"/>
              <w:rPr>
                <w:rFonts w:ascii="Arial" w:hAnsi="Arial" w:cs="Arial"/>
                <w:sz w:val="24"/>
                <w:szCs w:val="20"/>
                <w:lang w:eastAsia="en-ZA"/>
              </w:rPr>
            </w:pPr>
            <w:r>
              <w:rPr>
                <w:rFonts w:ascii="Arial" w:hAnsi="Arial" w:cs="Arial"/>
                <w:sz w:val="24"/>
                <w:szCs w:val="20"/>
                <w:lang w:eastAsia="en-ZA"/>
              </w:rPr>
              <w:t>Total n</w:t>
            </w:r>
            <w:r w:rsidRPr="002E5F3B">
              <w:rPr>
                <w:rFonts w:ascii="Arial" w:hAnsi="Arial" w:cs="Arial"/>
                <w:sz w:val="24"/>
                <w:szCs w:val="20"/>
                <w:lang w:eastAsia="en-ZA"/>
              </w:rPr>
              <w:t>umber of learners assessed</w:t>
            </w:r>
            <w:r>
              <w:rPr>
                <w:rFonts w:ascii="Arial" w:hAnsi="Arial" w:cs="Arial"/>
                <w:sz w:val="24"/>
                <w:szCs w:val="20"/>
                <w:lang w:eastAsia="en-ZA"/>
              </w:rPr>
              <w:t xml:space="preserve"> at the project schools </w:t>
            </w:r>
          </w:p>
          <w:p w:rsidR="000B3A2D" w:rsidRPr="002E5F3B" w:rsidRDefault="000B3A2D" w:rsidP="00A97A42">
            <w:pPr>
              <w:spacing w:after="0" w:line="360" w:lineRule="auto"/>
              <w:jc w:val="center"/>
              <w:rPr>
                <w:rFonts w:ascii="Arial" w:hAnsi="Arial" w:cs="Arial"/>
                <w:sz w:val="24"/>
                <w:szCs w:val="20"/>
                <w:lang w:eastAsia="en-ZA"/>
              </w:rPr>
            </w:pPr>
            <w:r>
              <w:rPr>
                <w:rFonts w:ascii="Arial" w:hAnsi="Arial" w:cs="Arial"/>
                <w:sz w:val="24"/>
                <w:szCs w:val="20"/>
                <w:lang w:eastAsia="en-ZA"/>
              </w:rPr>
              <w:t>(2014-201</w:t>
            </w:r>
            <w:r w:rsidR="00A97A42">
              <w:rPr>
                <w:rFonts w:ascii="Arial" w:hAnsi="Arial" w:cs="Arial"/>
                <w:sz w:val="24"/>
                <w:szCs w:val="20"/>
                <w:lang w:eastAsia="en-ZA"/>
              </w:rPr>
              <w:t>8</w:t>
            </w:r>
            <w:r>
              <w:rPr>
                <w:rFonts w:ascii="Arial" w:hAnsi="Arial" w:cs="Arial"/>
                <w:sz w:val="24"/>
                <w:szCs w:val="20"/>
                <w:lang w:eastAsia="en-ZA"/>
              </w:rPr>
              <w:t>)</w:t>
            </w:r>
          </w:p>
        </w:tc>
      </w:tr>
      <w:tr w:rsidR="000B3A2D" w:rsidRPr="0009301C" w:rsidTr="002C0886">
        <w:trPr>
          <w:trHeight w:val="255"/>
          <w:jc w:val="center"/>
        </w:trPr>
        <w:tc>
          <w:tcPr>
            <w:tcW w:w="1255" w:type="dxa"/>
            <w:tcBorders>
              <w:top w:val="nil"/>
              <w:left w:val="single" w:sz="4" w:space="0" w:color="auto"/>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 </w:t>
            </w:r>
          </w:p>
        </w:tc>
        <w:tc>
          <w:tcPr>
            <w:tcW w:w="1274" w:type="dxa"/>
            <w:tcBorders>
              <w:top w:val="nil"/>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b/>
                <w:sz w:val="24"/>
                <w:szCs w:val="20"/>
                <w:lang w:eastAsia="en-ZA"/>
              </w:rPr>
            </w:pPr>
            <w:r w:rsidRPr="002E5F3B">
              <w:rPr>
                <w:rFonts w:ascii="Arial" w:hAnsi="Arial" w:cs="Arial"/>
                <w:b/>
                <w:sz w:val="24"/>
                <w:szCs w:val="20"/>
                <w:lang w:eastAsia="en-ZA"/>
              </w:rPr>
              <w:t>Grade 3</w:t>
            </w:r>
          </w:p>
        </w:tc>
        <w:tc>
          <w:tcPr>
            <w:tcW w:w="1498" w:type="dxa"/>
            <w:tcBorders>
              <w:top w:val="nil"/>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b/>
                <w:sz w:val="24"/>
                <w:szCs w:val="20"/>
                <w:lang w:eastAsia="en-ZA"/>
              </w:rPr>
            </w:pPr>
            <w:r w:rsidRPr="002E5F3B">
              <w:rPr>
                <w:rFonts w:ascii="Arial" w:hAnsi="Arial" w:cs="Arial"/>
                <w:b/>
                <w:sz w:val="24"/>
                <w:szCs w:val="20"/>
                <w:lang w:eastAsia="en-ZA"/>
              </w:rPr>
              <w:t>Grade 4</w:t>
            </w:r>
          </w:p>
        </w:tc>
      </w:tr>
      <w:tr w:rsidR="000B3A2D" w:rsidRPr="0009301C" w:rsidTr="002C0886">
        <w:trPr>
          <w:trHeight w:val="255"/>
          <w:jc w:val="center"/>
        </w:trPr>
        <w:tc>
          <w:tcPr>
            <w:tcW w:w="1255" w:type="dxa"/>
            <w:tcBorders>
              <w:top w:val="nil"/>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2014</w:t>
            </w:r>
          </w:p>
        </w:tc>
        <w:tc>
          <w:tcPr>
            <w:tcW w:w="1274"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28</w:t>
            </w:r>
          </w:p>
        </w:tc>
        <w:tc>
          <w:tcPr>
            <w:tcW w:w="1498"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28</w:t>
            </w:r>
          </w:p>
        </w:tc>
      </w:tr>
      <w:tr w:rsidR="000B3A2D" w:rsidRPr="0009301C" w:rsidTr="002C0886">
        <w:trPr>
          <w:trHeight w:val="255"/>
          <w:jc w:val="center"/>
        </w:trPr>
        <w:tc>
          <w:tcPr>
            <w:tcW w:w="1255" w:type="dxa"/>
            <w:tcBorders>
              <w:top w:val="nil"/>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2015</w:t>
            </w:r>
          </w:p>
        </w:tc>
        <w:tc>
          <w:tcPr>
            <w:tcW w:w="1274"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41</w:t>
            </w:r>
          </w:p>
        </w:tc>
        <w:tc>
          <w:tcPr>
            <w:tcW w:w="1498"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45</w:t>
            </w:r>
          </w:p>
        </w:tc>
      </w:tr>
      <w:tr w:rsidR="000B3A2D" w:rsidRPr="0009301C" w:rsidTr="002C0886">
        <w:trPr>
          <w:trHeight w:val="255"/>
          <w:jc w:val="center"/>
        </w:trPr>
        <w:tc>
          <w:tcPr>
            <w:tcW w:w="1255" w:type="dxa"/>
            <w:tcBorders>
              <w:top w:val="single" w:sz="4" w:space="0" w:color="auto"/>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2016</w:t>
            </w:r>
          </w:p>
        </w:tc>
        <w:tc>
          <w:tcPr>
            <w:tcW w:w="1274" w:type="dxa"/>
            <w:tcBorders>
              <w:top w:val="single" w:sz="4" w:space="0" w:color="auto"/>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69</w:t>
            </w:r>
          </w:p>
        </w:tc>
        <w:tc>
          <w:tcPr>
            <w:tcW w:w="1498" w:type="dxa"/>
            <w:tcBorders>
              <w:top w:val="single" w:sz="4" w:space="0" w:color="auto"/>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62</w:t>
            </w:r>
          </w:p>
        </w:tc>
      </w:tr>
      <w:tr w:rsidR="00A13491" w:rsidRPr="0009301C" w:rsidTr="002C0886">
        <w:trPr>
          <w:trHeight w:val="255"/>
          <w:jc w:val="cent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3491" w:rsidRPr="0057008A" w:rsidRDefault="00A13491" w:rsidP="00C64F2D">
            <w:pPr>
              <w:spacing w:after="0" w:line="360" w:lineRule="auto"/>
              <w:rPr>
                <w:rFonts w:ascii="Arial" w:hAnsi="Arial" w:cs="Arial"/>
                <w:sz w:val="24"/>
                <w:szCs w:val="20"/>
                <w:lang w:eastAsia="en-ZA"/>
              </w:rPr>
            </w:pPr>
            <w:r w:rsidRPr="0057008A">
              <w:rPr>
                <w:rFonts w:ascii="Arial" w:hAnsi="Arial" w:cs="Arial"/>
                <w:sz w:val="24"/>
                <w:szCs w:val="20"/>
                <w:lang w:eastAsia="en-ZA"/>
              </w:rPr>
              <w:t>2017</w:t>
            </w:r>
          </w:p>
        </w:tc>
        <w:tc>
          <w:tcPr>
            <w:tcW w:w="1274" w:type="dxa"/>
            <w:tcBorders>
              <w:top w:val="single" w:sz="4" w:space="0" w:color="auto"/>
              <w:left w:val="nil"/>
              <w:bottom w:val="single" w:sz="4" w:space="0" w:color="auto"/>
              <w:right w:val="single" w:sz="4" w:space="0" w:color="auto"/>
            </w:tcBorders>
            <w:shd w:val="clear" w:color="auto" w:fill="auto"/>
            <w:noWrap/>
            <w:vAlign w:val="bottom"/>
          </w:tcPr>
          <w:p w:rsidR="00A13491" w:rsidRDefault="00A13491"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68</w:t>
            </w:r>
          </w:p>
        </w:tc>
        <w:tc>
          <w:tcPr>
            <w:tcW w:w="1498" w:type="dxa"/>
            <w:tcBorders>
              <w:top w:val="single" w:sz="4" w:space="0" w:color="auto"/>
              <w:left w:val="nil"/>
              <w:bottom w:val="single" w:sz="4" w:space="0" w:color="auto"/>
              <w:right w:val="single" w:sz="4" w:space="0" w:color="auto"/>
            </w:tcBorders>
            <w:shd w:val="clear" w:color="auto" w:fill="auto"/>
            <w:noWrap/>
            <w:vAlign w:val="bottom"/>
          </w:tcPr>
          <w:p w:rsidR="00A13491" w:rsidRDefault="00A13491"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68</w:t>
            </w:r>
          </w:p>
        </w:tc>
      </w:tr>
      <w:tr w:rsidR="00A97A42" w:rsidRPr="0009301C" w:rsidTr="002C0886">
        <w:trPr>
          <w:trHeight w:val="255"/>
          <w:jc w:val="cent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7A42" w:rsidRPr="0057008A" w:rsidRDefault="00A97A42" w:rsidP="00C64F2D">
            <w:pPr>
              <w:spacing w:after="0" w:line="360" w:lineRule="auto"/>
              <w:rPr>
                <w:rFonts w:ascii="Arial" w:hAnsi="Arial" w:cs="Arial"/>
                <w:sz w:val="24"/>
                <w:szCs w:val="20"/>
                <w:lang w:eastAsia="en-ZA"/>
              </w:rPr>
            </w:pPr>
            <w:r>
              <w:rPr>
                <w:rFonts w:ascii="Arial" w:hAnsi="Arial" w:cs="Arial"/>
                <w:sz w:val="24"/>
                <w:szCs w:val="20"/>
                <w:lang w:eastAsia="en-ZA"/>
              </w:rPr>
              <w:t>2018</w:t>
            </w:r>
          </w:p>
        </w:tc>
        <w:tc>
          <w:tcPr>
            <w:tcW w:w="1274" w:type="dxa"/>
            <w:tcBorders>
              <w:top w:val="single" w:sz="4" w:space="0" w:color="auto"/>
              <w:left w:val="nil"/>
              <w:bottom w:val="single" w:sz="4" w:space="0" w:color="auto"/>
              <w:right w:val="single" w:sz="4" w:space="0" w:color="auto"/>
            </w:tcBorders>
            <w:shd w:val="clear" w:color="auto" w:fill="auto"/>
            <w:noWrap/>
            <w:vAlign w:val="bottom"/>
          </w:tcPr>
          <w:p w:rsidR="00A97A42" w:rsidRDefault="00A97A42" w:rsidP="00A97A42">
            <w:pPr>
              <w:spacing w:after="0" w:line="360" w:lineRule="auto"/>
              <w:jc w:val="center"/>
              <w:rPr>
                <w:rFonts w:ascii="Arial" w:hAnsi="Arial" w:cs="Arial"/>
                <w:b/>
                <w:sz w:val="24"/>
                <w:szCs w:val="20"/>
                <w:lang w:eastAsia="en-ZA"/>
              </w:rPr>
            </w:pPr>
            <w:r>
              <w:rPr>
                <w:rFonts w:ascii="Arial" w:hAnsi="Arial" w:cs="Arial"/>
                <w:b/>
                <w:sz w:val="24"/>
                <w:szCs w:val="20"/>
                <w:lang w:eastAsia="en-ZA"/>
              </w:rPr>
              <w:t>72</w:t>
            </w:r>
          </w:p>
        </w:tc>
        <w:tc>
          <w:tcPr>
            <w:tcW w:w="1498" w:type="dxa"/>
            <w:tcBorders>
              <w:top w:val="single" w:sz="4" w:space="0" w:color="auto"/>
              <w:left w:val="nil"/>
              <w:bottom w:val="single" w:sz="4" w:space="0" w:color="auto"/>
              <w:right w:val="single" w:sz="4" w:space="0" w:color="auto"/>
            </w:tcBorders>
            <w:shd w:val="clear" w:color="auto" w:fill="auto"/>
            <w:noWrap/>
            <w:vAlign w:val="bottom"/>
          </w:tcPr>
          <w:p w:rsidR="00A97A42" w:rsidRDefault="00A97A42" w:rsidP="00A97A42">
            <w:pPr>
              <w:spacing w:after="0" w:line="360" w:lineRule="auto"/>
              <w:jc w:val="center"/>
              <w:rPr>
                <w:rFonts w:ascii="Arial" w:hAnsi="Arial" w:cs="Arial"/>
                <w:b/>
                <w:sz w:val="24"/>
                <w:szCs w:val="20"/>
                <w:lang w:eastAsia="en-ZA"/>
              </w:rPr>
            </w:pPr>
            <w:r>
              <w:rPr>
                <w:rFonts w:ascii="Arial" w:hAnsi="Arial" w:cs="Arial"/>
                <w:b/>
                <w:sz w:val="24"/>
                <w:szCs w:val="20"/>
                <w:lang w:eastAsia="en-ZA"/>
              </w:rPr>
              <w:t>74</w:t>
            </w:r>
          </w:p>
        </w:tc>
      </w:tr>
      <w:tr w:rsidR="000B3A2D" w:rsidRPr="0009301C" w:rsidTr="002C0886">
        <w:trPr>
          <w:trHeight w:val="255"/>
          <w:jc w:val="center"/>
        </w:trPr>
        <w:tc>
          <w:tcPr>
            <w:tcW w:w="1255"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0B3A2D" w:rsidRPr="00EB0B10" w:rsidRDefault="000B3A2D" w:rsidP="00C64F2D">
            <w:pPr>
              <w:spacing w:after="0" w:line="360" w:lineRule="auto"/>
              <w:rPr>
                <w:rFonts w:ascii="Arial" w:hAnsi="Arial" w:cs="Arial"/>
                <w:b/>
                <w:sz w:val="24"/>
                <w:szCs w:val="20"/>
                <w:lang w:eastAsia="en-ZA"/>
              </w:rPr>
            </w:pPr>
            <w:r w:rsidRPr="00EB0B10">
              <w:rPr>
                <w:rFonts w:ascii="Arial" w:hAnsi="Arial" w:cs="Arial"/>
                <w:b/>
                <w:sz w:val="24"/>
                <w:szCs w:val="20"/>
                <w:lang w:eastAsia="en-ZA"/>
              </w:rPr>
              <w:t>Total</w:t>
            </w:r>
          </w:p>
        </w:tc>
        <w:tc>
          <w:tcPr>
            <w:tcW w:w="1274" w:type="dxa"/>
            <w:tcBorders>
              <w:top w:val="single" w:sz="4" w:space="0" w:color="auto"/>
              <w:left w:val="nil"/>
              <w:bottom w:val="single" w:sz="4" w:space="0" w:color="auto"/>
              <w:right w:val="single" w:sz="4" w:space="0" w:color="auto"/>
            </w:tcBorders>
            <w:shd w:val="clear" w:color="auto" w:fill="BFBFBF"/>
            <w:noWrap/>
            <w:vAlign w:val="bottom"/>
          </w:tcPr>
          <w:p w:rsidR="000B3A2D" w:rsidRPr="002E5F3B" w:rsidRDefault="00A97A42"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278</w:t>
            </w:r>
          </w:p>
        </w:tc>
        <w:tc>
          <w:tcPr>
            <w:tcW w:w="1498" w:type="dxa"/>
            <w:tcBorders>
              <w:top w:val="single" w:sz="4" w:space="0" w:color="auto"/>
              <w:left w:val="nil"/>
              <w:bottom w:val="single" w:sz="4" w:space="0" w:color="auto"/>
              <w:right w:val="single" w:sz="4" w:space="0" w:color="auto"/>
            </w:tcBorders>
            <w:shd w:val="clear" w:color="auto" w:fill="BFBFBF"/>
            <w:noWrap/>
            <w:vAlign w:val="bottom"/>
          </w:tcPr>
          <w:p w:rsidR="000B3A2D" w:rsidRPr="002E5F3B" w:rsidRDefault="00A97A42"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277</w:t>
            </w:r>
          </w:p>
        </w:tc>
      </w:tr>
    </w:tbl>
    <w:p w:rsidR="00A97A42" w:rsidRDefault="00A97A42">
      <w:pPr>
        <w:rPr>
          <w:rFonts w:ascii="Arial" w:hAnsi="Arial" w:cs="Arial"/>
          <w:b/>
          <w:sz w:val="24"/>
        </w:rPr>
      </w:pPr>
    </w:p>
    <w:p w:rsidR="000B3A2D" w:rsidRDefault="000B3A2D">
      <w:pPr>
        <w:rPr>
          <w:rFonts w:ascii="Arial" w:hAnsi="Arial" w:cs="Arial"/>
          <w:b/>
          <w:sz w:val="24"/>
        </w:rPr>
      </w:pPr>
      <w:r w:rsidRPr="00FA0D23">
        <w:rPr>
          <w:rFonts w:ascii="Arial" w:hAnsi="Arial" w:cs="Arial"/>
          <w:b/>
          <w:sz w:val="24"/>
        </w:rPr>
        <w:lastRenderedPageBreak/>
        <w:t>Results</w:t>
      </w:r>
      <w:r>
        <w:rPr>
          <w:rFonts w:ascii="Arial" w:hAnsi="Arial" w:cs="Arial"/>
          <w:b/>
          <w:sz w:val="24"/>
        </w:rPr>
        <w:t>:</w:t>
      </w:r>
    </w:p>
    <w:p w:rsidR="000B3A2D" w:rsidRDefault="000B3A2D" w:rsidP="00E5558F">
      <w:pPr>
        <w:spacing w:line="240" w:lineRule="auto"/>
        <w:jc w:val="both"/>
        <w:rPr>
          <w:rFonts w:ascii="Arial" w:hAnsi="Arial" w:cs="Arial"/>
          <w:sz w:val="24"/>
          <w:u w:val="single"/>
        </w:rPr>
      </w:pPr>
      <w:r w:rsidRPr="002E2ABC">
        <w:rPr>
          <w:rFonts w:ascii="Arial" w:hAnsi="Arial" w:cs="Arial"/>
          <w:sz w:val="24"/>
          <w:u w:val="single"/>
        </w:rPr>
        <w:t>Grade 3</w:t>
      </w:r>
    </w:p>
    <w:p w:rsidR="00E5558F" w:rsidRDefault="00E5558F" w:rsidP="00E5558F">
      <w:pPr>
        <w:spacing w:line="240" w:lineRule="auto"/>
        <w:jc w:val="both"/>
        <w:rPr>
          <w:rFonts w:ascii="Arial" w:hAnsi="Arial" w:cs="Arial"/>
          <w:sz w:val="24"/>
          <w:u w:val="single"/>
        </w:rPr>
      </w:pPr>
    </w:p>
    <w:p w:rsidR="008E51DB" w:rsidRDefault="001D2BEF" w:rsidP="00E5558F">
      <w:pPr>
        <w:jc w:val="both"/>
        <w:rPr>
          <w:rFonts w:ascii="Arial" w:hAnsi="Arial" w:cs="Arial"/>
          <w:sz w:val="24"/>
          <w:u w:val="single"/>
        </w:rPr>
      </w:pPr>
      <w:r>
        <w:rPr>
          <w:noProof/>
          <w:lang w:eastAsia="en-ZA" w:bidi="he-IL"/>
        </w:rPr>
        <w:drawing>
          <wp:inline distT="0" distB="0" distL="0" distR="0" wp14:anchorId="26BBED7E" wp14:editId="051230E5">
            <wp:extent cx="5734050" cy="37623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558F" w:rsidRDefault="00E5558F" w:rsidP="00E5558F">
      <w:pPr>
        <w:jc w:val="both"/>
        <w:rPr>
          <w:rFonts w:ascii="Arial" w:hAnsi="Arial" w:cs="Arial"/>
          <w:sz w:val="24"/>
        </w:rPr>
      </w:pPr>
    </w:p>
    <w:p w:rsidR="00694C7D" w:rsidRPr="0063509C" w:rsidRDefault="000B3A2D" w:rsidP="00CE1E04">
      <w:pPr>
        <w:spacing w:line="360" w:lineRule="auto"/>
        <w:jc w:val="both"/>
        <w:rPr>
          <w:rFonts w:ascii="Arial" w:hAnsi="Arial" w:cs="Arial"/>
          <w:sz w:val="24"/>
        </w:rPr>
      </w:pPr>
      <w:r w:rsidRPr="00494B23">
        <w:rPr>
          <w:rFonts w:ascii="Arial" w:hAnsi="Arial" w:cs="Arial"/>
          <w:sz w:val="24"/>
        </w:rPr>
        <w:t xml:space="preserve">There </w:t>
      </w:r>
      <w:r w:rsidR="002E3049">
        <w:rPr>
          <w:rFonts w:ascii="Arial" w:hAnsi="Arial" w:cs="Arial"/>
          <w:sz w:val="24"/>
        </w:rPr>
        <w:t>was</w:t>
      </w:r>
      <w:r w:rsidRPr="00494B23">
        <w:rPr>
          <w:rFonts w:ascii="Arial" w:hAnsi="Arial" w:cs="Arial"/>
          <w:sz w:val="24"/>
        </w:rPr>
        <w:t xml:space="preserve"> a</w:t>
      </w:r>
      <w:r w:rsidR="002F5FCC">
        <w:rPr>
          <w:rFonts w:ascii="Arial" w:hAnsi="Arial" w:cs="Arial"/>
          <w:sz w:val="24"/>
        </w:rPr>
        <w:t>n</w:t>
      </w:r>
      <w:r w:rsidR="008E51DB">
        <w:rPr>
          <w:rFonts w:ascii="Arial" w:hAnsi="Arial" w:cs="Arial"/>
          <w:sz w:val="24"/>
        </w:rPr>
        <w:t xml:space="preserve"> </w:t>
      </w:r>
      <w:r w:rsidR="00803A5D">
        <w:rPr>
          <w:rFonts w:ascii="Arial" w:hAnsi="Arial" w:cs="Arial"/>
          <w:sz w:val="24"/>
        </w:rPr>
        <w:t>improvement</w:t>
      </w:r>
      <w:r w:rsidRPr="00494B23">
        <w:rPr>
          <w:rFonts w:ascii="Arial" w:hAnsi="Arial" w:cs="Arial"/>
          <w:sz w:val="24"/>
        </w:rPr>
        <w:t xml:space="preserve"> (</w:t>
      </w:r>
      <w:r w:rsidR="001D2BEF">
        <w:rPr>
          <w:rFonts w:ascii="Arial" w:hAnsi="Arial" w:cs="Arial"/>
          <w:sz w:val="24"/>
        </w:rPr>
        <w:t>2</w:t>
      </w:r>
      <w:r w:rsidRPr="009A2193">
        <w:rPr>
          <w:rFonts w:ascii="Arial" w:hAnsi="Arial" w:cs="Arial"/>
          <w:sz w:val="24"/>
        </w:rPr>
        <w:t>.</w:t>
      </w:r>
      <w:r w:rsidR="001D2BEF">
        <w:rPr>
          <w:rFonts w:ascii="Arial" w:hAnsi="Arial" w:cs="Arial"/>
          <w:sz w:val="24"/>
        </w:rPr>
        <w:t>31</w:t>
      </w:r>
      <w:r w:rsidRPr="009A2193">
        <w:rPr>
          <w:rFonts w:ascii="Arial" w:hAnsi="Arial" w:cs="Arial"/>
          <w:sz w:val="24"/>
        </w:rPr>
        <w:t xml:space="preserve"> points</w:t>
      </w:r>
      <w:r w:rsidRPr="00494B23">
        <w:rPr>
          <w:rFonts w:ascii="Arial" w:hAnsi="Arial" w:cs="Arial"/>
          <w:sz w:val="24"/>
        </w:rPr>
        <w:t xml:space="preserve">) in </w:t>
      </w:r>
      <w:r>
        <w:rPr>
          <w:rFonts w:ascii="Arial" w:hAnsi="Arial" w:cs="Arial"/>
          <w:sz w:val="24"/>
        </w:rPr>
        <w:t>the average score</w:t>
      </w:r>
      <w:r w:rsidRPr="00494B23">
        <w:rPr>
          <w:rFonts w:ascii="Arial" w:hAnsi="Arial" w:cs="Arial"/>
          <w:sz w:val="24"/>
        </w:rPr>
        <w:t xml:space="preserve"> </w:t>
      </w:r>
      <w:r w:rsidR="00C5751E">
        <w:rPr>
          <w:rFonts w:ascii="Arial" w:hAnsi="Arial" w:cs="Arial"/>
          <w:sz w:val="24"/>
        </w:rPr>
        <w:t>for 201</w:t>
      </w:r>
      <w:r w:rsidR="001D2BEF">
        <w:rPr>
          <w:rFonts w:ascii="Arial" w:hAnsi="Arial" w:cs="Arial"/>
          <w:sz w:val="24"/>
        </w:rPr>
        <w:t>8</w:t>
      </w:r>
      <w:r w:rsidR="00C5751E">
        <w:rPr>
          <w:rFonts w:ascii="Arial" w:hAnsi="Arial" w:cs="Arial"/>
          <w:sz w:val="24"/>
        </w:rPr>
        <w:t xml:space="preserve"> compared with</w:t>
      </w:r>
      <w:r w:rsidR="00E51940">
        <w:rPr>
          <w:rFonts w:ascii="Arial" w:hAnsi="Arial" w:cs="Arial"/>
          <w:sz w:val="24"/>
        </w:rPr>
        <w:t xml:space="preserve"> </w:t>
      </w:r>
      <w:r>
        <w:rPr>
          <w:rFonts w:ascii="Arial" w:hAnsi="Arial" w:cs="Arial"/>
          <w:sz w:val="24"/>
        </w:rPr>
        <w:t xml:space="preserve">the </w:t>
      </w:r>
      <w:r w:rsidRPr="00494B23">
        <w:rPr>
          <w:rFonts w:ascii="Arial" w:hAnsi="Arial" w:cs="Arial"/>
          <w:sz w:val="24"/>
        </w:rPr>
        <w:t>baseline</w:t>
      </w:r>
      <w:r>
        <w:rPr>
          <w:rFonts w:ascii="Arial" w:hAnsi="Arial" w:cs="Arial"/>
          <w:sz w:val="24"/>
        </w:rPr>
        <w:t xml:space="preserve"> assessment in 2014. </w:t>
      </w:r>
      <w:r w:rsidR="005324EC">
        <w:rPr>
          <w:rFonts w:ascii="Arial" w:hAnsi="Arial" w:cs="Arial"/>
          <w:sz w:val="24"/>
        </w:rPr>
        <w:t xml:space="preserve">The project </w:t>
      </w:r>
      <w:r w:rsidR="002F726C">
        <w:rPr>
          <w:rFonts w:ascii="Arial" w:hAnsi="Arial" w:cs="Arial"/>
          <w:sz w:val="24"/>
        </w:rPr>
        <w:t>schools</w:t>
      </w:r>
      <w:r w:rsidR="003B7AE7">
        <w:rPr>
          <w:rFonts w:ascii="Arial" w:hAnsi="Arial" w:cs="Arial"/>
          <w:sz w:val="24"/>
        </w:rPr>
        <w:t xml:space="preserve"> in 2018</w:t>
      </w:r>
      <w:r w:rsidR="002F726C">
        <w:rPr>
          <w:rFonts w:ascii="Arial" w:hAnsi="Arial" w:cs="Arial"/>
          <w:sz w:val="24"/>
        </w:rPr>
        <w:t xml:space="preserve"> </w:t>
      </w:r>
      <w:r w:rsidR="00BE713C">
        <w:rPr>
          <w:rFonts w:ascii="Arial" w:hAnsi="Arial" w:cs="Arial"/>
          <w:sz w:val="24"/>
        </w:rPr>
        <w:t xml:space="preserve">on average </w:t>
      </w:r>
      <w:r w:rsidR="00CE23FF">
        <w:rPr>
          <w:rFonts w:ascii="Arial" w:hAnsi="Arial" w:cs="Arial"/>
          <w:sz w:val="24"/>
        </w:rPr>
        <w:t xml:space="preserve">scored </w:t>
      </w:r>
      <w:r w:rsidR="004E2F7C">
        <w:rPr>
          <w:rFonts w:ascii="Arial" w:hAnsi="Arial" w:cs="Arial"/>
          <w:sz w:val="24"/>
        </w:rPr>
        <w:t>1</w:t>
      </w:r>
      <w:r w:rsidR="00CE1E04">
        <w:rPr>
          <w:rFonts w:ascii="Arial" w:hAnsi="Arial" w:cs="Arial"/>
          <w:sz w:val="24"/>
        </w:rPr>
        <w:t>7</w:t>
      </w:r>
      <w:r w:rsidR="002F726C">
        <w:rPr>
          <w:rFonts w:ascii="Arial" w:hAnsi="Arial" w:cs="Arial"/>
          <w:sz w:val="24"/>
        </w:rPr>
        <w:t>.</w:t>
      </w:r>
      <w:r w:rsidR="00CE1E04">
        <w:rPr>
          <w:rFonts w:ascii="Arial" w:hAnsi="Arial" w:cs="Arial"/>
          <w:sz w:val="24"/>
        </w:rPr>
        <w:t>2</w:t>
      </w:r>
      <w:r w:rsidR="005D2268">
        <w:rPr>
          <w:rFonts w:ascii="Arial" w:hAnsi="Arial" w:cs="Arial"/>
          <w:sz w:val="24"/>
        </w:rPr>
        <w:t>7</w:t>
      </w:r>
      <w:r w:rsidR="005324EC">
        <w:rPr>
          <w:rFonts w:ascii="Arial" w:hAnsi="Arial" w:cs="Arial"/>
          <w:sz w:val="24"/>
        </w:rPr>
        <w:t xml:space="preserve"> points higher than a comparable group of learners from the province. </w:t>
      </w:r>
      <w:r>
        <w:rPr>
          <w:rFonts w:ascii="Arial" w:hAnsi="Arial" w:cs="Arial"/>
          <w:sz w:val="24"/>
        </w:rPr>
        <w:t xml:space="preserve">The </w:t>
      </w:r>
      <w:r w:rsidR="005C5B19">
        <w:rPr>
          <w:rFonts w:ascii="Arial" w:hAnsi="Arial" w:cs="Arial"/>
          <w:sz w:val="24"/>
        </w:rPr>
        <w:t xml:space="preserve">average </w:t>
      </w:r>
      <w:r w:rsidR="005324EC">
        <w:rPr>
          <w:rFonts w:ascii="Arial" w:hAnsi="Arial" w:cs="Arial"/>
          <w:sz w:val="24"/>
        </w:rPr>
        <w:t xml:space="preserve">word score for the </w:t>
      </w:r>
      <w:r>
        <w:rPr>
          <w:rFonts w:ascii="Arial" w:hAnsi="Arial" w:cs="Arial"/>
          <w:sz w:val="24"/>
        </w:rPr>
        <w:t>project learners w</w:t>
      </w:r>
      <w:r w:rsidR="005C5B19">
        <w:rPr>
          <w:rFonts w:ascii="Arial" w:hAnsi="Arial" w:cs="Arial"/>
          <w:sz w:val="24"/>
        </w:rPr>
        <w:t>as</w:t>
      </w:r>
      <w:r>
        <w:rPr>
          <w:rFonts w:ascii="Arial" w:hAnsi="Arial" w:cs="Arial"/>
          <w:sz w:val="24"/>
        </w:rPr>
        <w:t xml:space="preserve"> approximately </w:t>
      </w:r>
      <w:r w:rsidR="00CE1E04">
        <w:rPr>
          <w:rFonts w:ascii="Arial" w:hAnsi="Arial" w:cs="Arial"/>
          <w:sz w:val="24"/>
        </w:rPr>
        <w:t>1</w:t>
      </w:r>
      <w:r w:rsidR="00C51EF4">
        <w:rPr>
          <w:rFonts w:ascii="Arial" w:hAnsi="Arial" w:cs="Arial"/>
          <w:sz w:val="24"/>
        </w:rPr>
        <w:t>.</w:t>
      </w:r>
      <w:r w:rsidR="000F1801">
        <w:rPr>
          <w:rFonts w:ascii="Arial" w:hAnsi="Arial" w:cs="Arial"/>
          <w:sz w:val="24"/>
        </w:rPr>
        <w:t>1</w:t>
      </w:r>
      <w:r w:rsidR="00C51EF4">
        <w:rPr>
          <w:rFonts w:ascii="Arial" w:hAnsi="Arial" w:cs="Arial"/>
          <w:sz w:val="24"/>
        </w:rPr>
        <w:t xml:space="preserve"> </w:t>
      </w:r>
      <w:r w:rsidR="00CE1E04">
        <w:rPr>
          <w:rFonts w:ascii="Arial" w:hAnsi="Arial" w:cs="Arial"/>
          <w:sz w:val="24"/>
        </w:rPr>
        <w:t>years</w:t>
      </w:r>
      <w:r>
        <w:rPr>
          <w:rFonts w:ascii="Arial" w:hAnsi="Arial" w:cs="Arial"/>
          <w:sz w:val="24"/>
        </w:rPr>
        <w:t xml:space="preserve"> </w:t>
      </w:r>
      <w:r w:rsidR="00BE713C">
        <w:rPr>
          <w:rFonts w:ascii="Arial" w:hAnsi="Arial" w:cs="Arial"/>
          <w:sz w:val="24"/>
        </w:rPr>
        <w:t>higher than that</w:t>
      </w:r>
      <w:r w:rsidR="00CF2D95">
        <w:rPr>
          <w:rFonts w:ascii="Arial" w:hAnsi="Arial" w:cs="Arial"/>
          <w:sz w:val="24"/>
        </w:rPr>
        <w:t xml:space="preserve"> of the </w:t>
      </w:r>
      <w:r w:rsidR="005F1A05">
        <w:rPr>
          <w:rFonts w:ascii="Arial" w:hAnsi="Arial" w:cs="Arial"/>
          <w:sz w:val="24"/>
        </w:rPr>
        <w:t>control learners,</w:t>
      </w:r>
      <w:r w:rsidR="005324EC">
        <w:rPr>
          <w:rFonts w:ascii="Arial" w:hAnsi="Arial" w:cs="Arial"/>
          <w:sz w:val="24"/>
        </w:rPr>
        <w:t xml:space="preserve"> however approximately </w:t>
      </w:r>
      <w:r w:rsidR="00D93F3B">
        <w:rPr>
          <w:rFonts w:ascii="Arial" w:hAnsi="Arial" w:cs="Arial"/>
          <w:sz w:val="24"/>
        </w:rPr>
        <w:t>2</w:t>
      </w:r>
      <w:r w:rsidR="005324EC">
        <w:rPr>
          <w:rFonts w:ascii="Arial" w:hAnsi="Arial" w:cs="Arial"/>
          <w:sz w:val="24"/>
        </w:rPr>
        <w:t xml:space="preserve"> year</w:t>
      </w:r>
      <w:r w:rsidR="00D93F3B">
        <w:rPr>
          <w:rFonts w:ascii="Arial" w:hAnsi="Arial" w:cs="Arial"/>
          <w:sz w:val="24"/>
        </w:rPr>
        <w:t>s</w:t>
      </w:r>
      <w:r w:rsidR="00CE23FF">
        <w:rPr>
          <w:rFonts w:ascii="Arial" w:hAnsi="Arial" w:cs="Arial"/>
          <w:sz w:val="24"/>
        </w:rPr>
        <w:t xml:space="preserve"> </w:t>
      </w:r>
      <w:r w:rsidR="005324EC">
        <w:rPr>
          <w:rFonts w:ascii="Arial" w:hAnsi="Arial" w:cs="Arial"/>
          <w:sz w:val="24"/>
        </w:rPr>
        <w:t>delay</w:t>
      </w:r>
      <w:r w:rsidR="00CE23FF">
        <w:rPr>
          <w:rFonts w:ascii="Arial" w:hAnsi="Arial" w:cs="Arial"/>
          <w:sz w:val="24"/>
        </w:rPr>
        <w:t>ed</w:t>
      </w:r>
      <w:r w:rsidR="005324EC">
        <w:rPr>
          <w:rFonts w:ascii="Arial" w:hAnsi="Arial" w:cs="Arial"/>
          <w:sz w:val="24"/>
        </w:rPr>
        <w:t xml:space="preserve"> </w:t>
      </w:r>
      <w:r w:rsidR="00C5751E">
        <w:rPr>
          <w:rFonts w:ascii="Arial" w:hAnsi="Arial" w:cs="Arial"/>
          <w:sz w:val="24"/>
        </w:rPr>
        <w:t>in comparison with</w:t>
      </w:r>
      <w:r w:rsidR="005324EC">
        <w:rPr>
          <w:rFonts w:ascii="Arial" w:hAnsi="Arial" w:cs="Arial"/>
          <w:sz w:val="24"/>
        </w:rPr>
        <w:t xml:space="preserve"> a group of disadvantaged learners in the Western Cape.</w:t>
      </w:r>
      <w:r>
        <w:rPr>
          <w:rFonts w:ascii="Arial" w:hAnsi="Arial" w:cs="Arial"/>
          <w:sz w:val="24"/>
        </w:rPr>
        <w:t xml:space="preserve"> </w:t>
      </w:r>
      <w:r w:rsidR="00694C7D">
        <w:rPr>
          <w:rFonts w:ascii="Arial" w:hAnsi="Arial" w:cs="Arial"/>
          <w:sz w:val="24"/>
        </w:rPr>
        <w:t>T</w:t>
      </w:r>
      <w:r w:rsidR="00694C7D" w:rsidRPr="0063509C">
        <w:rPr>
          <w:rFonts w:ascii="Arial" w:hAnsi="Arial" w:cs="Arial"/>
          <w:sz w:val="24"/>
        </w:rPr>
        <w:t>he majority</w:t>
      </w:r>
      <w:r w:rsidR="00694C7D">
        <w:rPr>
          <w:rFonts w:ascii="Arial" w:hAnsi="Arial" w:cs="Arial"/>
          <w:sz w:val="24"/>
        </w:rPr>
        <w:t xml:space="preserve"> (</w:t>
      </w:r>
      <w:r w:rsidR="00694C7D" w:rsidRPr="0063509C">
        <w:rPr>
          <w:rFonts w:ascii="Arial" w:hAnsi="Arial" w:cs="Arial"/>
          <w:sz w:val="24"/>
        </w:rPr>
        <w:t xml:space="preserve">77%) </w:t>
      </w:r>
      <w:r w:rsidR="00694C7D">
        <w:rPr>
          <w:rFonts w:ascii="Arial" w:hAnsi="Arial" w:cs="Arial"/>
          <w:sz w:val="24"/>
        </w:rPr>
        <w:t xml:space="preserve">of the </w:t>
      </w:r>
      <w:r w:rsidR="00694C7D" w:rsidRPr="0063509C">
        <w:rPr>
          <w:rFonts w:ascii="Arial" w:hAnsi="Arial" w:cs="Arial"/>
          <w:sz w:val="24"/>
        </w:rPr>
        <w:t>Grade 3</w:t>
      </w:r>
      <w:r w:rsidR="00694C7D">
        <w:rPr>
          <w:rFonts w:ascii="Arial" w:hAnsi="Arial" w:cs="Arial"/>
          <w:sz w:val="24"/>
        </w:rPr>
        <w:t xml:space="preserve"> </w:t>
      </w:r>
      <w:r w:rsidR="00694C7D" w:rsidRPr="0063509C">
        <w:rPr>
          <w:rFonts w:ascii="Arial" w:hAnsi="Arial" w:cs="Arial"/>
          <w:sz w:val="24"/>
        </w:rPr>
        <w:t>of learners from the sur</w:t>
      </w:r>
      <w:bookmarkStart w:id="0" w:name="_GoBack"/>
      <w:bookmarkEnd w:id="0"/>
      <w:r w:rsidR="00694C7D" w:rsidRPr="0063509C">
        <w:rPr>
          <w:rFonts w:ascii="Arial" w:hAnsi="Arial" w:cs="Arial"/>
          <w:sz w:val="24"/>
        </w:rPr>
        <w:t>rounding area could only write a maximum of 16 words,</w:t>
      </w:r>
      <w:r w:rsidR="00694C7D">
        <w:rPr>
          <w:rFonts w:ascii="Arial" w:hAnsi="Arial" w:cs="Arial"/>
          <w:sz w:val="24"/>
        </w:rPr>
        <w:t xml:space="preserve"> whereas</w:t>
      </w:r>
      <w:r w:rsidR="00694C7D" w:rsidRPr="0063509C">
        <w:rPr>
          <w:rFonts w:ascii="Arial" w:hAnsi="Arial" w:cs="Arial"/>
          <w:sz w:val="24"/>
        </w:rPr>
        <w:t xml:space="preserve"> the majority </w:t>
      </w:r>
      <w:r w:rsidR="00694C7D">
        <w:rPr>
          <w:rFonts w:ascii="Arial" w:hAnsi="Arial" w:cs="Arial"/>
          <w:sz w:val="24"/>
        </w:rPr>
        <w:t>(</w:t>
      </w:r>
      <w:r w:rsidR="00694C7D" w:rsidRPr="0063509C">
        <w:rPr>
          <w:rFonts w:ascii="Arial" w:hAnsi="Arial" w:cs="Arial"/>
          <w:sz w:val="24"/>
        </w:rPr>
        <w:t xml:space="preserve">63%) of the </w:t>
      </w:r>
      <w:proofErr w:type="spellStart"/>
      <w:r w:rsidR="00694C7D" w:rsidRPr="0063509C">
        <w:rPr>
          <w:rFonts w:ascii="Arial" w:hAnsi="Arial" w:cs="Arial"/>
          <w:sz w:val="24"/>
        </w:rPr>
        <w:t>Kwena</w:t>
      </w:r>
      <w:proofErr w:type="spellEnd"/>
      <w:r w:rsidR="00694C7D" w:rsidRPr="0063509C">
        <w:rPr>
          <w:rFonts w:ascii="Arial" w:hAnsi="Arial" w:cs="Arial"/>
          <w:sz w:val="24"/>
        </w:rPr>
        <w:t xml:space="preserve"> Basin children could write over 17 words per child</w:t>
      </w:r>
      <w:r w:rsidR="00694C7D">
        <w:rPr>
          <w:rFonts w:ascii="Arial" w:hAnsi="Arial" w:cs="Arial"/>
          <w:sz w:val="24"/>
        </w:rPr>
        <w:t>.</w:t>
      </w:r>
    </w:p>
    <w:p w:rsidR="00E5558F" w:rsidRDefault="00E5558F" w:rsidP="00694C7D">
      <w:pPr>
        <w:spacing w:line="360" w:lineRule="auto"/>
        <w:jc w:val="both"/>
        <w:rPr>
          <w:rFonts w:ascii="Arial" w:hAnsi="Arial" w:cs="Arial"/>
          <w:sz w:val="24"/>
        </w:rPr>
      </w:pPr>
    </w:p>
    <w:p w:rsidR="000B3A2D" w:rsidRDefault="004865DD" w:rsidP="00883512">
      <w:pPr>
        <w:spacing w:line="360" w:lineRule="auto"/>
        <w:jc w:val="center"/>
        <w:rPr>
          <w:noProof/>
          <w:lang w:eastAsia="en-ZA"/>
        </w:rPr>
      </w:pPr>
      <w:r>
        <w:rPr>
          <w:noProof/>
          <w:lang w:eastAsia="en-ZA" w:bidi="he-IL"/>
        </w:rPr>
        <w:lastRenderedPageBreak/>
        <w:drawing>
          <wp:inline distT="0" distB="0" distL="0" distR="0" wp14:anchorId="0B2FE722" wp14:editId="139F182F">
            <wp:extent cx="5734050" cy="32575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3A2D" w:rsidRDefault="000B3A2D" w:rsidP="001172EA">
      <w:pPr>
        <w:spacing w:line="360" w:lineRule="auto"/>
        <w:jc w:val="both"/>
        <w:rPr>
          <w:rFonts w:ascii="Arial" w:hAnsi="Arial" w:cs="Arial"/>
          <w:sz w:val="24"/>
        </w:rPr>
      </w:pPr>
      <w:r>
        <w:rPr>
          <w:rFonts w:ascii="Arial" w:hAnsi="Arial" w:cs="Arial"/>
          <w:sz w:val="24"/>
        </w:rPr>
        <w:t xml:space="preserve">While there </w:t>
      </w:r>
      <w:r w:rsidR="005F1A05">
        <w:rPr>
          <w:rFonts w:ascii="Arial" w:hAnsi="Arial" w:cs="Arial"/>
          <w:sz w:val="24"/>
        </w:rPr>
        <w:t>have been</w:t>
      </w:r>
      <w:r w:rsidR="000A3AD6">
        <w:rPr>
          <w:rFonts w:ascii="Arial" w:hAnsi="Arial" w:cs="Arial"/>
          <w:sz w:val="24"/>
        </w:rPr>
        <w:t xml:space="preserve"> </w:t>
      </w:r>
      <w:r>
        <w:rPr>
          <w:rFonts w:ascii="Arial" w:hAnsi="Arial" w:cs="Arial"/>
          <w:sz w:val="24"/>
        </w:rPr>
        <w:t>gains in the average score</w:t>
      </w:r>
      <w:r w:rsidR="00BF6091">
        <w:rPr>
          <w:rFonts w:ascii="Arial" w:hAnsi="Arial" w:cs="Arial"/>
          <w:sz w:val="24"/>
        </w:rPr>
        <w:t>s</w:t>
      </w:r>
      <w:r>
        <w:rPr>
          <w:rFonts w:ascii="Arial" w:hAnsi="Arial" w:cs="Arial"/>
          <w:sz w:val="24"/>
        </w:rPr>
        <w:t xml:space="preserve"> at </w:t>
      </w:r>
      <w:r w:rsidR="004865DD">
        <w:rPr>
          <w:rFonts w:ascii="Arial" w:hAnsi="Arial" w:cs="Arial"/>
          <w:sz w:val="24"/>
        </w:rPr>
        <w:t xml:space="preserve">two </w:t>
      </w:r>
      <w:r>
        <w:rPr>
          <w:rFonts w:ascii="Arial" w:hAnsi="Arial" w:cs="Arial"/>
          <w:sz w:val="24"/>
        </w:rPr>
        <w:t>of the project schools since the start of the project</w:t>
      </w:r>
      <w:r w:rsidR="00E55541">
        <w:rPr>
          <w:rFonts w:ascii="Arial" w:hAnsi="Arial" w:cs="Arial"/>
          <w:sz w:val="24"/>
        </w:rPr>
        <w:t xml:space="preserve"> </w:t>
      </w:r>
      <w:r>
        <w:rPr>
          <w:rFonts w:ascii="Arial" w:hAnsi="Arial" w:cs="Arial"/>
          <w:sz w:val="24"/>
        </w:rPr>
        <w:t>(</w:t>
      </w:r>
      <w:r w:rsidRPr="004A6400">
        <w:rPr>
          <w:rFonts w:ascii="Arial" w:hAnsi="Arial" w:cs="Arial"/>
          <w:i/>
          <w:iCs/>
          <w:sz w:val="24"/>
        </w:rPr>
        <w:t>Enkeldoorn: +4</w:t>
      </w:r>
      <w:r w:rsidR="004865DD" w:rsidRPr="004A6400">
        <w:rPr>
          <w:rFonts w:ascii="Arial" w:hAnsi="Arial" w:cs="Arial"/>
          <w:i/>
          <w:iCs/>
          <w:sz w:val="24"/>
        </w:rPr>
        <w:t>2</w:t>
      </w:r>
      <w:r w:rsidRPr="004A6400">
        <w:rPr>
          <w:rFonts w:ascii="Arial" w:hAnsi="Arial" w:cs="Arial"/>
          <w:i/>
          <w:iCs/>
          <w:sz w:val="24"/>
        </w:rPr>
        <w:t>.</w:t>
      </w:r>
      <w:r w:rsidR="00C129D7" w:rsidRPr="004A6400">
        <w:rPr>
          <w:rFonts w:ascii="Arial" w:hAnsi="Arial" w:cs="Arial"/>
          <w:i/>
          <w:iCs/>
          <w:sz w:val="24"/>
        </w:rPr>
        <w:t>28</w:t>
      </w:r>
      <w:r w:rsidR="004865DD" w:rsidRPr="004A6400">
        <w:rPr>
          <w:rFonts w:ascii="Arial" w:hAnsi="Arial" w:cs="Arial"/>
          <w:i/>
          <w:iCs/>
          <w:sz w:val="24"/>
        </w:rPr>
        <w:t xml:space="preserve"> &amp; Klipspruit: +5.93</w:t>
      </w:r>
      <w:r w:rsidR="007D58B0">
        <w:rPr>
          <w:rFonts w:ascii="Arial" w:hAnsi="Arial" w:cs="Arial"/>
          <w:sz w:val="24"/>
        </w:rPr>
        <w:t>),</w:t>
      </w:r>
      <w:r w:rsidR="00C129D7" w:rsidRPr="00C129D7">
        <w:rPr>
          <w:rFonts w:ascii="Arial" w:hAnsi="Arial" w:cs="Arial"/>
          <w:sz w:val="24"/>
        </w:rPr>
        <w:t xml:space="preserve"> </w:t>
      </w:r>
      <w:r w:rsidR="00C129D7">
        <w:rPr>
          <w:rFonts w:ascii="Arial" w:hAnsi="Arial" w:cs="Arial"/>
          <w:sz w:val="24"/>
        </w:rPr>
        <w:t xml:space="preserve">there </w:t>
      </w:r>
      <w:proofErr w:type="gramStart"/>
      <w:r w:rsidR="005F1A05">
        <w:rPr>
          <w:rFonts w:ascii="Arial" w:hAnsi="Arial" w:cs="Arial"/>
          <w:sz w:val="24"/>
        </w:rPr>
        <w:t>have  been</w:t>
      </w:r>
      <w:proofErr w:type="gramEnd"/>
      <w:r w:rsidR="004F3568">
        <w:rPr>
          <w:rFonts w:ascii="Arial" w:hAnsi="Arial" w:cs="Arial"/>
          <w:sz w:val="24"/>
        </w:rPr>
        <w:t xml:space="preserve"> </w:t>
      </w:r>
      <w:r w:rsidR="00C129D7">
        <w:rPr>
          <w:rFonts w:ascii="Arial" w:hAnsi="Arial" w:cs="Arial"/>
          <w:sz w:val="24"/>
        </w:rPr>
        <w:t>decline</w:t>
      </w:r>
      <w:r w:rsidR="00B54149">
        <w:rPr>
          <w:rFonts w:ascii="Arial" w:hAnsi="Arial" w:cs="Arial"/>
          <w:sz w:val="24"/>
        </w:rPr>
        <w:t>s</w:t>
      </w:r>
      <w:r w:rsidR="00C129D7">
        <w:rPr>
          <w:rFonts w:ascii="Arial" w:hAnsi="Arial" w:cs="Arial"/>
          <w:sz w:val="24"/>
        </w:rPr>
        <w:t xml:space="preserve"> </w:t>
      </w:r>
      <w:r w:rsidR="003179A3">
        <w:rPr>
          <w:rFonts w:ascii="Arial" w:hAnsi="Arial" w:cs="Arial"/>
          <w:sz w:val="24"/>
        </w:rPr>
        <w:t>in</w:t>
      </w:r>
      <w:r w:rsidR="00B54149">
        <w:rPr>
          <w:rFonts w:ascii="Arial" w:hAnsi="Arial" w:cs="Arial"/>
          <w:sz w:val="24"/>
        </w:rPr>
        <w:t xml:space="preserve"> the</w:t>
      </w:r>
      <w:r w:rsidR="003179A3">
        <w:rPr>
          <w:rFonts w:ascii="Arial" w:hAnsi="Arial" w:cs="Arial"/>
          <w:sz w:val="24"/>
        </w:rPr>
        <w:t xml:space="preserve"> scores </w:t>
      </w:r>
      <w:r w:rsidR="00A02F29">
        <w:rPr>
          <w:rFonts w:ascii="Arial" w:hAnsi="Arial" w:cs="Arial"/>
          <w:sz w:val="24"/>
        </w:rPr>
        <w:t>at</w:t>
      </w:r>
      <w:r w:rsidR="00523026">
        <w:rPr>
          <w:rFonts w:ascii="Arial" w:hAnsi="Arial" w:cs="Arial"/>
          <w:sz w:val="24"/>
        </w:rPr>
        <w:t xml:space="preserve"> two</w:t>
      </w:r>
      <w:r w:rsidR="00E55541">
        <w:rPr>
          <w:rFonts w:ascii="Arial" w:hAnsi="Arial" w:cs="Arial"/>
          <w:sz w:val="24"/>
        </w:rPr>
        <w:t xml:space="preserve"> </w:t>
      </w:r>
      <w:r w:rsidR="007D58B0">
        <w:rPr>
          <w:rFonts w:ascii="Arial" w:hAnsi="Arial" w:cs="Arial"/>
          <w:sz w:val="24"/>
        </w:rPr>
        <w:t>school</w:t>
      </w:r>
      <w:r w:rsidR="003179A3">
        <w:rPr>
          <w:rFonts w:ascii="Arial" w:hAnsi="Arial" w:cs="Arial"/>
          <w:sz w:val="24"/>
        </w:rPr>
        <w:t>s</w:t>
      </w:r>
      <w:r w:rsidR="007D58B0">
        <w:rPr>
          <w:rFonts w:ascii="Arial" w:hAnsi="Arial" w:cs="Arial"/>
          <w:sz w:val="24"/>
        </w:rPr>
        <w:t xml:space="preserve"> (</w:t>
      </w:r>
      <w:proofErr w:type="spellStart"/>
      <w:r>
        <w:rPr>
          <w:rFonts w:ascii="Arial" w:hAnsi="Arial" w:cs="Arial"/>
          <w:sz w:val="24"/>
        </w:rPr>
        <w:t>Umthombophile</w:t>
      </w:r>
      <w:proofErr w:type="spellEnd"/>
      <w:r w:rsidR="007D58B0">
        <w:rPr>
          <w:rFonts w:ascii="Arial" w:hAnsi="Arial" w:cs="Arial"/>
          <w:sz w:val="24"/>
        </w:rPr>
        <w:t>:</w:t>
      </w:r>
      <w:r>
        <w:rPr>
          <w:rFonts w:ascii="Arial" w:hAnsi="Arial" w:cs="Arial"/>
          <w:sz w:val="24"/>
        </w:rPr>
        <w:t xml:space="preserve"> -</w:t>
      </w:r>
      <w:r w:rsidR="00EC1E21">
        <w:rPr>
          <w:rFonts w:ascii="Arial" w:hAnsi="Arial" w:cs="Arial"/>
          <w:sz w:val="24"/>
        </w:rPr>
        <w:t>13</w:t>
      </w:r>
      <w:r>
        <w:rPr>
          <w:rFonts w:ascii="Arial" w:hAnsi="Arial" w:cs="Arial"/>
          <w:sz w:val="24"/>
        </w:rPr>
        <w:t>.</w:t>
      </w:r>
      <w:r w:rsidR="00EC1E21">
        <w:rPr>
          <w:rFonts w:ascii="Arial" w:hAnsi="Arial" w:cs="Arial"/>
          <w:sz w:val="24"/>
        </w:rPr>
        <w:t xml:space="preserve">88 &amp; Phakama: </w:t>
      </w:r>
      <w:r w:rsidR="00A02F29">
        <w:rPr>
          <w:rFonts w:ascii="Arial" w:hAnsi="Arial" w:cs="Arial"/>
          <w:sz w:val="24"/>
        </w:rPr>
        <w:t xml:space="preserve">      </w:t>
      </w:r>
      <w:r w:rsidR="00EC1E21">
        <w:rPr>
          <w:rFonts w:ascii="Arial" w:hAnsi="Arial" w:cs="Arial"/>
          <w:sz w:val="24"/>
        </w:rPr>
        <w:t>-4.22</w:t>
      </w:r>
      <w:r w:rsidR="00C129D7">
        <w:rPr>
          <w:rFonts w:ascii="Arial" w:hAnsi="Arial" w:cs="Arial"/>
          <w:sz w:val="24"/>
        </w:rPr>
        <w:t>)</w:t>
      </w:r>
      <w:r>
        <w:rPr>
          <w:rFonts w:ascii="Arial" w:hAnsi="Arial" w:cs="Arial"/>
          <w:sz w:val="24"/>
        </w:rPr>
        <w:t>.</w:t>
      </w:r>
      <w:r w:rsidR="00C129D7">
        <w:rPr>
          <w:rFonts w:ascii="Arial" w:hAnsi="Arial" w:cs="Arial"/>
          <w:sz w:val="24"/>
        </w:rPr>
        <w:t xml:space="preserve"> </w:t>
      </w:r>
      <w:r w:rsidR="005C5B19">
        <w:rPr>
          <w:rFonts w:ascii="Arial" w:hAnsi="Arial" w:cs="Arial"/>
          <w:sz w:val="24"/>
        </w:rPr>
        <w:t>Since 2016 t</w:t>
      </w:r>
      <w:r w:rsidR="00C129D7">
        <w:rPr>
          <w:rFonts w:ascii="Arial" w:hAnsi="Arial" w:cs="Arial"/>
          <w:sz w:val="24"/>
        </w:rPr>
        <w:t xml:space="preserve">here </w:t>
      </w:r>
      <w:r w:rsidR="005C5B19">
        <w:rPr>
          <w:rFonts w:ascii="Arial" w:hAnsi="Arial" w:cs="Arial"/>
          <w:sz w:val="24"/>
        </w:rPr>
        <w:t>have however been</w:t>
      </w:r>
      <w:r w:rsidR="00636311">
        <w:rPr>
          <w:rFonts w:ascii="Arial" w:hAnsi="Arial" w:cs="Arial"/>
          <w:sz w:val="24"/>
        </w:rPr>
        <w:t xml:space="preserve"> </w:t>
      </w:r>
      <w:r w:rsidR="00C129D7">
        <w:rPr>
          <w:rFonts w:ascii="Arial" w:hAnsi="Arial" w:cs="Arial"/>
          <w:sz w:val="24"/>
        </w:rPr>
        <w:t>improvement</w:t>
      </w:r>
      <w:r w:rsidR="00E55541">
        <w:rPr>
          <w:rFonts w:ascii="Arial" w:hAnsi="Arial" w:cs="Arial"/>
          <w:sz w:val="24"/>
        </w:rPr>
        <w:t>s</w:t>
      </w:r>
      <w:r w:rsidR="00EC1E21">
        <w:rPr>
          <w:rFonts w:ascii="Arial" w:hAnsi="Arial" w:cs="Arial"/>
          <w:sz w:val="24"/>
        </w:rPr>
        <w:t xml:space="preserve"> in the average score</w:t>
      </w:r>
      <w:r w:rsidR="003B7AE7">
        <w:rPr>
          <w:rFonts w:ascii="Arial" w:hAnsi="Arial" w:cs="Arial"/>
          <w:sz w:val="24"/>
        </w:rPr>
        <w:t>s</w:t>
      </w:r>
      <w:r w:rsidR="00EC1E21">
        <w:rPr>
          <w:rFonts w:ascii="Arial" w:hAnsi="Arial" w:cs="Arial"/>
          <w:sz w:val="24"/>
        </w:rPr>
        <w:t xml:space="preserve"> at </w:t>
      </w:r>
      <w:r w:rsidR="00D57181">
        <w:rPr>
          <w:rFonts w:ascii="Arial" w:hAnsi="Arial" w:cs="Arial"/>
          <w:sz w:val="24"/>
        </w:rPr>
        <w:t>all</w:t>
      </w:r>
      <w:r w:rsidR="00EC1E21">
        <w:rPr>
          <w:rFonts w:ascii="Arial" w:hAnsi="Arial" w:cs="Arial"/>
          <w:sz w:val="24"/>
        </w:rPr>
        <w:t xml:space="preserve"> four project schools</w:t>
      </w:r>
      <w:r w:rsidR="00E55541">
        <w:rPr>
          <w:rFonts w:ascii="Arial" w:hAnsi="Arial" w:cs="Arial"/>
          <w:sz w:val="24"/>
        </w:rPr>
        <w:t xml:space="preserve">: </w:t>
      </w:r>
      <w:r w:rsidR="00D57181" w:rsidRPr="00D57181">
        <w:rPr>
          <w:rFonts w:ascii="Arial" w:hAnsi="Arial" w:cs="Arial"/>
          <w:i/>
          <w:iCs/>
          <w:sz w:val="24"/>
        </w:rPr>
        <w:t>Enkeldoorn = +1.</w:t>
      </w:r>
      <w:r w:rsidR="00D57181">
        <w:rPr>
          <w:rFonts w:ascii="Arial" w:hAnsi="Arial" w:cs="Arial"/>
          <w:i/>
          <w:iCs/>
          <w:sz w:val="24"/>
        </w:rPr>
        <w:t>6</w:t>
      </w:r>
      <w:r w:rsidR="00D57181" w:rsidRPr="00D57181">
        <w:rPr>
          <w:rFonts w:ascii="Arial" w:hAnsi="Arial" w:cs="Arial"/>
          <w:i/>
          <w:iCs/>
          <w:sz w:val="24"/>
        </w:rPr>
        <w:t xml:space="preserve">1; </w:t>
      </w:r>
      <w:proofErr w:type="spellStart"/>
      <w:r w:rsidR="00EC1E21" w:rsidRPr="00D57181">
        <w:rPr>
          <w:rFonts w:ascii="Arial" w:hAnsi="Arial" w:cs="Arial"/>
          <w:i/>
          <w:iCs/>
          <w:sz w:val="24"/>
        </w:rPr>
        <w:t>Umthombophile</w:t>
      </w:r>
      <w:proofErr w:type="spellEnd"/>
      <w:r w:rsidR="00E55541" w:rsidRPr="00D57181">
        <w:rPr>
          <w:rFonts w:ascii="Arial" w:hAnsi="Arial" w:cs="Arial"/>
          <w:i/>
          <w:iCs/>
          <w:sz w:val="24"/>
        </w:rPr>
        <w:t xml:space="preserve"> =</w:t>
      </w:r>
      <w:r w:rsidR="00EC1E21" w:rsidRPr="00D57181">
        <w:rPr>
          <w:rFonts w:ascii="Arial" w:hAnsi="Arial" w:cs="Arial"/>
          <w:i/>
          <w:iCs/>
          <w:sz w:val="24"/>
        </w:rPr>
        <w:t xml:space="preserve"> +</w:t>
      </w:r>
      <w:r w:rsidR="00D93F3B" w:rsidRPr="00D57181">
        <w:rPr>
          <w:rFonts w:ascii="Arial" w:hAnsi="Arial" w:cs="Arial"/>
          <w:i/>
          <w:iCs/>
          <w:sz w:val="24"/>
        </w:rPr>
        <w:t>5</w:t>
      </w:r>
      <w:r w:rsidR="00EC1E21" w:rsidRPr="00D57181">
        <w:rPr>
          <w:rFonts w:ascii="Arial" w:hAnsi="Arial" w:cs="Arial"/>
          <w:i/>
          <w:iCs/>
          <w:sz w:val="24"/>
        </w:rPr>
        <w:t>.</w:t>
      </w:r>
      <w:r w:rsidR="00D93F3B" w:rsidRPr="00D57181">
        <w:rPr>
          <w:rFonts w:ascii="Arial" w:hAnsi="Arial" w:cs="Arial"/>
          <w:i/>
          <w:iCs/>
          <w:sz w:val="24"/>
        </w:rPr>
        <w:t>61</w:t>
      </w:r>
      <w:r w:rsidR="00EC1E21" w:rsidRPr="00D57181">
        <w:rPr>
          <w:rFonts w:ascii="Arial" w:hAnsi="Arial" w:cs="Arial"/>
          <w:i/>
          <w:iCs/>
          <w:sz w:val="24"/>
        </w:rPr>
        <w:t>; Phakama</w:t>
      </w:r>
      <w:r w:rsidR="00E55541" w:rsidRPr="00D57181">
        <w:rPr>
          <w:rFonts w:ascii="Arial" w:hAnsi="Arial" w:cs="Arial"/>
          <w:i/>
          <w:iCs/>
          <w:sz w:val="24"/>
        </w:rPr>
        <w:t xml:space="preserve"> =</w:t>
      </w:r>
      <w:r w:rsidR="00EC1E21" w:rsidRPr="00D57181">
        <w:rPr>
          <w:rFonts w:ascii="Arial" w:hAnsi="Arial" w:cs="Arial"/>
          <w:i/>
          <w:iCs/>
          <w:sz w:val="24"/>
        </w:rPr>
        <w:t xml:space="preserve"> +</w:t>
      </w:r>
      <w:r w:rsidR="00D93F3B" w:rsidRPr="00D57181">
        <w:rPr>
          <w:rFonts w:ascii="Arial" w:hAnsi="Arial" w:cs="Arial"/>
          <w:i/>
          <w:iCs/>
          <w:sz w:val="24"/>
        </w:rPr>
        <w:t>4</w:t>
      </w:r>
      <w:r w:rsidR="00EC1E21" w:rsidRPr="00D57181">
        <w:rPr>
          <w:rFonts w:ascii="Arial" w:hAnsi="Arial" w:cs="Arial"/>
          <w:i/>
          <w:iCs/>
          <w:sz w:val="24"/>
        </w:rPr>
        <w:t>.4</w:t>
      </w:r>
      <w:r w:rsidR="00D93F3B" w:rsidRPr="00D57181">
        <w:rPr>
          <w:rFonts w:ascii="Arial" w:hAnsi="Arial" w:cs="Arial"/>
          <w:i/>
          <w:iCs/>
          <w:sz w:val="24"/>
        </w:rPr>
        <w:t>1</w:t>
      </w:r>
      <w:r w:rsidR="00EC1E21" w:rsidRPr="00D57181">
        <w:rPr>
          <w:rFonts w:ascii="Arial" w:hAnsi="Arial" w:cs="Arial"/>
          <w:i/>
          <w:iCs/>
          <w:sz w:val="24"/>
        </w:rPr>
        <w:t xml:space="preserve"> </w:t>
      </w:r>
      <w:r w:rsidR="00A02F29" w:rsidRPr="00D57181">
        <w:rPr>
          <w:rFonts w:ascii="Arial" w:hAnsi="Arial" w:cs="Arial"/>
          <w:i/>
          <w:iCs/>
          <w:sz w:val="24"/>
        </w:rPr>
        <w:t>and</w:t>
      </w:r>
      <w:r w:rsidR="00EC1E21" w:rsidRPr="00D57181">
        <w:rPr>
          <w:rFonts w:ascii="Arial" w:hAnsi="Arial" w:cs="Arial"/>
          <w:i/>
          <w:iCs/>
          <w:sz w:val="24"/>
        </w:rPr>
        <w:t xml:space="preserve"> Klipspruit</w:t>
      </w:r>
      <w:r w:rsidR="00E55541" w:rsidRPr="00D57181">
        <w:rPr>
          <w:rFonts w:ascii="Arial" w:hAnsi="Arial" w:cs="Arial"/>
          <w:i/>
          <w:iCs/>
          <w:sz w:val="24"/>
        </w:rPr>
        <w:t xml:space="preserve"> =</w:t>
      </w:r>
      <w:r w:rsidR="00EC1E21" w:rsidRPr="00D57181">
        <w:rPr>
          <w:rFonts w:ascii="Arial" w:hAnsi="Arial" w:cs="Arial"/>
          <w:i/>
          <w:iCs/>
          <w:sz w:val="24"/>
        </w:rPr>
        <w:t xml:space="preserve"> +1</w:t>
      </w:r>
      <w:r w:rsidR="00D57181" w:rsidRPr="00D57181">
        <w:rPr>
          <w:rFonts w:ascii="Arial" w:hAnsi="Arial" w:cs="Arial"/>
          <w:i/>
          <w:iCs/>
          <w:sz w:val="24"/>
        </w:rPr>
        <w:t>8</w:t>
      </w:r>
      <w:r w:rsidR="00EC1E21" w:rsidRPr="00D57181">
        <w:rPr>
          <w:rFonts w:ascii="Arial" w:hAnsi="Arial" w:cs="Arial"/>
          <w:i/>
          <w:iCs/>
          <w:sz w:val="24"/>
        </w:rPr>
        <w:t>.</w:t>
      </w:r>
      <w:r w:rsidR="00D57181" w:rsidRPr="00D57181">
        <w:rPr>
          <w:rFonts w:ascii="Arial" w:hAnsi="Arial" w:cs="Arial"/>
          <w:i/>
          <w:iCs/>
          <w:sz w:val="24"/>
        </w:rPr>
        <w:t>49</w:t>
      </w:r>
      <w:r w:rsidR="00C129D7" w:rsidRPr="00D57181">
        <w:rPr>
          <w:rFonts w:ascii="Arial" w:hAnsi="Arial" w:cs="Arial"/>
          <w:i/>
          <w:iCs/>
          <w:sz w:val="24"/>
        </w:rPr>
        <w:t>.</w:t>
      </w:r>
      <w:r w:rsidR="00E55541" w:rsidRPr="00D57181">
        <w:rPr>
          <w:rFonts w:ascii="Arial" w:hAnsi="Arial" w:cs="Arial"/>
          <w:i/>
          <w:iCs/>
          <w:sz w:val="24"/>
        </w:rPr>
        <w:t xml:space="preserve"> </w:t>
      </w:r>
      <w:r w:rsidR="00E55541">
        <w:rPr>
          <w:rFonts w:ascii="Arial" w:hAnsi="Arial" w:cs="Arial"/>
          <w:sz w:val="24"/>
        </w:rPr>
        <w:t xml:space="preserve">There </w:t>
      </w:r>
      <w:r w:rsidR="004A6400">
        <w:rPr>
          <w:rFonts w:ascii="Arial" w:hAnsi="Arial" w:cs="Arial"/>
          <w:sz w:val="24"/>
        </w:rPr>
        <w:t>was</w:t>
      </w:r>
      <w:r w:rsidR="00697B44">
        <w:rPr>
          <w:rFonts w:ascii="Arial" w:hAnsi="Arial" w:cs="Arial"/>
          <w:sz w:val="24"/>
        </w:rPr>
        <w:t xml:space="preserve"> a</w:t>
      </w:r>
      <w:r w:rsidR="00E55541">
        <w:rPr>
          <w:rFonts w:ascii="Arial" w:hAnsi="Arial" w:cs="Arial"/>
          <w:sz w:val="24"/>
        </w:rPr>
        <w:t xml:space="preserve"> marginal decline at one school (Enkeldoorn:-1.0) </w:t>
      </w:r>
      <w:r w:rsidR="005C5B19">
        <w:rPr>
          <w:rFonts w:ascii="Arial" w:hAnsi="Arial" w:cs="Arial"/>
          <w:sz w:val="24"/>
        </w:rPr>
        <w:t>in</w:t>
      </w:r>
      <w:r w:rsidR="00AD1C15">
        <w:rPr>
          <w:rFonts w:ascii="Arial" w:hAnsi="Arial" w:cs="Arial"/>
          <w:sz w:val="24"/>
        </w:rPr>
        <w:t xml:space="preserve"> </w:t>
      </w:r>
      <w:r w:rsidR="005C5B19">
        <w:rPr>
          <w:rFonts w:ascii="Arial" w:hAnsi="Arial" w:cs="Arial"/>
          <w:sz w:val="24"/>
        </w:rPr>
        <w:t>2018</w:t>
      </w:r>
      <w:r w:rsidR="00E55541">
        <w:rPr>
          <w:rFonts w:ascii="Arial" w:hAnsi="Arial" w:cs="Arial"/>
          <w:sz w:val="24"/>
        </w:rPr>
        <w:t xml:space="preserve">, </w:t>
      </w:r>
      <w:r w:rsidR="00A64C49">
        <w:rPr>
          <w:rFonts w:ascii="Arial" w:hAnsi="Arial" w:cs="Arial"/>
          <w:sz w:val="24"/>
        </w:rPr>
        <w:t xml:space="preserve">yet </w:t>
      </w:r>
      <w:r w:rsidR="00D57181">
        <w:rPr>
          <w:rFonts w:ascii="Arial" w:hAnsi="Arial" w:cs="Arial"/>
          <w:sz w:val="24"/>
        </w:rPr>
        <w:t>the</w:t>
      </w:r>
      <w:r w:rsidR="00A02F29">
        <w:rPr>
          <w:rFonts w:ascii="Arial" w:hAnsi="Arial" w:cs="Arial"/>
          <w:sz w:val="24"/>
        </w:rPr>
        <w:t xml:space="preserve"> </w:t>
      </w:r>
      <w:r w:rsidR="00AD1C15">
        <w:rPr>
          <w:rFonts w:ascii="Arial" w:hAnsi="Arial" w:cs="Arial"/>
          <w:sz w:val="24"/>
        </w:rPr>
        <w:t>greatest</w:t>
      </w:r>
      <w:r w:rsidR="00523026">
        <w:rPr>
          <w:rFonts w:ascii="Arial" w:hAnsi="Arial" w:cs="Arial"/>
          <w:sz w:val="24"/>
        </w:rPr>
        <w:t xml:space="preserve"> gains (+42.28)</w:t>
      </w:r>
      <w:r w:rsidR="00A47297">
        <w:rPr>
          <w:rFonts w:ascii="Arial" w:hAnsi="Arial" w:cs="Arial"/>
          <w:sz w:val="24"/>
        </w:rPr>
        <w:t xml:space="preserve"> in the project have been found at this school</w:t>
      </w:r>
      <w:r w:rsidR="00E55541">
        <w:rPr>
          <w:rFonts w:ascii="Arial" w:hAnsi="Arial" w:cs="Arial"/>
          <w:sz w:val="24"/>
        </w:rPr>
        <w:t xml:space="preserve">. </w:t>
      </w:r>
      <w:r>
        <w:rPr>
          <w:rFonts w:ascii="Arial" w:hAnsi="Arial" w:cs="Arial"/>
          <w:sz w:val="24"/>
        </w:rPr>
        <w:t>Th</w:t>
      </w:r>
      <w:r w:rsidR="00A02F29">
        <w:rPr>
          <w:rFonts w:ascii="Arial" w:hAnsi="Arial" w:cs="Arial"/>
          <w:sz w:val="24"/>
        </w:rPr>
        <w:t>e gains at this school</w:t>
      </w:r>
      <w:r>
        <w:rPr>
          <w:rFonts w:ascii="Arial" w:hAnsi="Arial" w:cs="Arial"/>
          <w:sz w:val="24"/>
        </w:rPr>
        <w:t xml:space="preserve"> equate to </w:t>
      </w:r>
      <w:r w:rsidR="00E55541">
        <w:rPr>
          <w:rFonts w:ascii="Arial" w:hAnsi="Arial" w:cs="Arial"/>
          <w:sz w:val="24"/>
        </w:rPr>
        <w:t>2.6 year</w:t>
      </w:r>
      <w:r w:rsidR="00A02F29">
        <w:rPr>
          <w:rFonts w:ascii="Arial" w:hAnsi="Arial" w:cs="Arial"/>
          <w:sz w:val="24"/>
        </w:rPr>
        <w:t>s of</w:t>
      </w:r>
      <w:r w:rsidR="00E55541">
        <w:rPr>
          <w:rFonts w:ascii="Arial" w:hAnsi="Arial" w:cs="Arial"/>
          <w:sz w:val="24"/>
        </w:rPr>
        <w:t xml:space="preserve"> growth in word production</w:t>
      </w:r>
      <w:r>
        <w:rPr>
          <w:rFonts w:ascii="Arial" w:hAnsi="Arial" w:cs="Arial"/>
          <w:sz w:val="24"/>
        </w:rPr>
        <w:t xml:space="preserve"> </w:t>
      </w:r>
      <w:r w:rsidR="00E55541">
        <w:rPr>
          <w:rFonts w:ascii="Arial" w:hAnsi="Arial" w:cs="Arial"/>
          <w:sz w:val="24"/>
        </w:rPr>
        <w:t>since the start of the project</w:t>
      </w:r>
      <w:r>
        <w:rPr>
          <w:rFonts w:ascii="Arial" w:hAnsi="Arial" w:cs="Arial"/>
          <w:sz w:val="24"/>
        </w:rPr>
        <w:t>.</w:t>
      </w:r>
      <w:r w:rsidR="00E55541">
        <w:rPr>
          <w:rFonts w:ascii="Arial" w:hAnsi="Arial" w:cs="Arial"/>
          <w:sz w:val="24"/>
        </w:rPr>
        <w:t xml:space="preserve"> </w:t>
      </w:r>
      <w:r>
        <w:rPr>
          <w:rFonts w:ascii="Arial" w:hAnsi="Arial" w:cs="Arial"/>
          <w:sz w:val="24"/>
        </w:rPr>
        <w:t xml:space="preserve">The learners at Enkeldoorn </w:t>
      </w:r>
      <w:r w:rsidR="00AD1C15">
        <w:rPr>
          <w:rFonts w:ascii="Arial" w:hAnsi="Arial" w:cs="Arial"/>
          <w:sz w:val="24"/>
        </w:rPr>
        <w:t xml:space="preserve">in 2018 </w:t>
      </w:r>
      <w:r>
        <w:rPr>
          <w:rFonts w:ascii="Arial" w:hAnsi="Arial" w:cs="Arial"/>
          <w:sz w:val="24"/>
        </w:rPr>
        <w:t>were functioning s</w:t>
      </w:r>
      <w:r w:rsidR="003179A3">
        <w:rPr>
          <w:rFonts w:ascii="Arial" w:hAnsi="Arial" w:cs="Arial"/>
          <w:sz w:val="24"/>
        </w:rPr>
        <w:t xml:space="preserve">lightly below the average score </w:t>
      </w:r>
      <w:r w:rsidR="002D23DC">
        <w:rPr>
          <w:rFonts w:ascii="Arial" w:hAnsi="Arial" w:cs="Arial"/>
          <w:sz w:val="24"/>
        </w:rPr>
        <w:t>(-</w:t>
      </w:r>
      <w:r w:rsidR="00A238AC">
        <w:rPr>
          <w:rFonts w:ascii="Arial" w:hAnsi="Arial" w:cs="Arial"/>
          <w:sz w:val="24"/>
        </w:rPr>
        <w:t>3</w:t>
      </w:r>
      <w:r>
        <w:rPr>
          <w:rFonts w:ascii="Arial" w:hAnsi="Arial" w:cs="Arial"/>
          <w:sz w:val="24"/>
        </w:rPr>
        <w:t>.</w:t>
      </w:r>
      <w:r w:rsidR="002D23DC">
        <w:rPr>
          <w:rFonts w:ascii="Arial" w:hAnsi="Arial" w:cs="Arial"/>
          <w:sz w:val="24"/>
        </w:rPr>
        <w:t>25</w:t>
      </w:r>
      <w:r>
        <w:rPr>
          <w:rFonts w:ascii="Arial" w:hAnsi="Arial" w:cs="Arial"/>
          <w:sz w:val="24"/>
        </w:rPr>
        <w:t xml:space="preserve">) expected of a child in Grade </w:t>
      </w:r>
      <w:r w:rsidR="009811BE">
        <w:rPr>
          <w:rFonts w:ascii="Arial" w:hAnsi="Arial" w:cs="Arial"/>
          <w:sz w:val="24"/>
        </w:rPr>
        <w:t>3</w:t>
      </w:r>
      <w:r>
        <w:rPr>
          <w:rFonts w:ascii="Arial" w:hAnsi="Arial" w:cs="Arial"/>
          <w:sz w:val="24"/>
        </w:rPr>
        <w:t xml:space="preserve">. </w:t>
      </w:r>
      <w:r w:rsidR="00636311" w:rsidRPr="00F262AE">
        <w:rPr>
          <w:rFonts w:ascii="Arial" w:hAnsi="Arial" w:cs="Arial"/>
          <w:sz w:val="24"/>
        </w:rPr>
        <w:t xml:space="preserve">The greatest concern </w:t>
      </w:r>
      <w:r w:rsidR="004319F6" w:rsidRPr="00F262AE">
        <w:rPr>
          <w:rFonts w:ascii="Arial" w:hAnsi="Arial" w:cs="Arial"/>
          <w:sz w:val="24"/>
        </w:rPr>
        <w:t>was the</w:t>
      </w:r>
      <w:r w:rsidR="00636311" w:rsidRPr="00F262AE">
        <w:rPr>
          <w:rFonts w:ascii="Arial" w:hAnsi="Arial" w:cs="Arial"/>
          <w:sz w:val="24"/>
        </w:rPr>
        <w:t xml:space="preserve"> low score attained by the learners at Phakama. The learners</w:t>
      </w:r>
      <w:r w:rsidR="0024268D" w:rsidRPr="00F262AE">
        <w:rPr>
          <w:rFonts w:ascii="Arial" w:hAnsi="Arial" w:cs="Arial"/>
          <w:sz w:val="24"/>
        </w:rPr>
        <w:t xml:space="preserve"> scored</w:t>
      </w:r>
      <w:r w:rsidR="00E5558F" w:rsidRPr="00F262AE">
        <w:rPr>
          <w:rFonts w:ascii="Arial" w:hAnsi="Arial" w:cs="Arial"/>
          <w:sz w:val="24"/>
        </w:rPr>
        <w:t xml:space="preserve"> only</w:t>
      </w:r>
      <w:r w:rsidR="0024268D" w:rsidRPr="00F262AE">
        <w:rPr>
          <w:rFonts w:ascii="Arial" w:hAnsi="Arial" w:cs="Arial"/>
          <w:sz w:val="24"/>
        </w:rPr>
        <w:t xml:space="preserve"> marginally higher</w:t>
      </w:r>
      <w:r w:rsidR="000A127C" w:rsidRPr="00F262AE">
        <w:rPr>
          <w:rFonts w:ascii="Arial" w:hAnsi="Arial" w:cs="Arial"/>
          <w:sz w:val="24"/>
        </w:rPr>
        <w:t xml:space="preserve"> (.13)</w:t>
      </w:r>
      <w:r w:rsidR="0024268D" w:rsidRPr="00F262AE">
        <w:rPr>
          <w:rFonts w:ascii="Arial" w:hAnsi="Arial" w:cs="Arial"/>
          <w:sz w:val="24"/>
        </w:rPr>
        <w:t xml:space="preserve"> than the </w:t>
      </w:r>
      <w:r w:rsidR="000A127C" w:rsidRPr="00F262AE">
        <w:rPr>
          <w:rFonts w:ascii="Arial" w:hAnsi="Arial" w:cs="Arial"/>
          <w:sz w:val="24"/>
        </w:rPr>
        <w:t xml:space="preserve">local comparison </w:t>
      </w:r>
      <w:r w:rsidR="0024268D" w:rsidRPr="00F262AE">
        <w:rPr>
          <w:rFonts w:ascii="Arial" w:hAnsi="Arial" w:cs="Arial"/>
          <w:sz w:val="24"/>
        </w:rPr>
        <w:t>school</w:t>
      </w:r>
      <w:r w:rsidR="00AC3856" w:rsidRPr="00F262AE">
        <w:rPr>
          <w:rFonts w:ascii="Arial" w:hAnsi="Arial" w:cs="Arial"/>
          <w:sz w:val="24"/>
        </w:rPr>
        <w:t xml:space="preserve"> -</w:t>
      </w:r>
      <w:r w:rsidR="0024268D" w:rsidRPr="00F262AE">
        <w:rPr>
          <w:rFonts w:ascii="Arial" w:hAnsi="Arial" w:cs="Arial"/>
          <w:sz w:val="24"/>
        </w:rPr>
        <w:t xml:space="preserve"> </w:t>
      </w:r>
      <w:r w:rsidR="001172EA" w:rsidRPr="00F262AE">
        <w:rPr>
          <w:rFonts w:ascii="Arial" w:hAnsi="Arial" w:cs="Arial"/>
          <w:sz w:val="24"/>
        </w:rPr>
        <w:t>this</w:t>
      </w:r>
      <w:r w:rsidR="004319F6" w:rsidRPr="00F262AE">
        <w:rPr>
          <w:rFonts w:ascii="Arial" w:hAnsi="Arial" w:cs="Arial"/>
          <w:sz w:val="24"/>
        </w:rPr>
        <w:t xml:space="preserve"> represents a</w:t>
      </w:r>
      <w:r w:rsidR="001172EA" w:rsidRPr="00F262AE">
        <w:rPr>
          <w:rFonts w:ascii="Arial" w:hAnsi="Arial" w:cs="Arial"/>
          <w:sz w:val="24"/>
        </w:rPr>
        <w:t>n approximate</w:t>
      </w:r>
      <w:r w:rsidR="0024268D" w:rsidRPr="00F262AE">
        <w:rPr>
          <w:rFonts w:ascii="Arial" w:hAnsi="Arial" w:cs="Arial"/>
          <w:sz w:val="24"/>
        </w:rPr>
        <w:t xml:space="preserve"> </w:t>
      </w:r>
      <w:r w:rsidR="000A127C" w:rsidRPr="00F262AE">
        <w:rPr>
          <w:rFonts w:ascii="Arial" w:hAnsi="Arial" w:cs="Arial"/>
          <w:sz w:val="24"/>
        </w:rPr>
        <w:t>delay</w:t>
      </w:r>
      <w:r w:rsidR="001172EA" w:rsidRPr="00F262AE">
        <w:rPr>
          <w:rFonts w:ascii="Arial" w:hAnsi="Arial" w:cs="Arial"/>
          <w:sz w:val="24"/>
        </w:rPr>
        <w:t xml:space="preserve"> of 2.7 years</w:t>
      </w:r>
      <w:r w:rsidR="000A127C" w:rsidRPr="00F262AE">
        <w:rPr>
          <w:rFonts w:ascii="Arial" w:hAnsi="Arial" w:cs="Arial"/>
          <w:sz w:val="24"/>
        </w:rPr>
        <w:t xml:space="preserve"> </w:t>
      </w:r>
      <w:r w:rsidR="004319F6" w:rsidRPr="00F262AE">
        <w:rPr>
          <w:rFonts w:ascii="Arial" w:hAnsi="Arial" w:cs="Arial"/>
          <w:sz w:val="24"/>
        </w:rPr>
        <w:t xml:space="preserve">compared with </w:t>
      </w:r>
      <w:r w:rsidR="00330F85">
        <w:rPr>
          <w:rFonts w:ascii="Arial" w:hAnsi="Arial" w:cs="Arial"/>
          <w:sz w:val="24"/>
        </w:rPr>
        <w:t xml:space="preserve">an </w:t>
      </w:r>
      <w:r w:rsidR="000A127C" w:rsidRPr="00F262AE">
        <w:rPr>
          <w:rFonts w:ascii="Arial" w:hAnsi="Arial" w:cs="Arial"/>
          <w:sz w:val="24"/>
        </w:rPr>
        <w:t>average child on this test.</w:t>
      </w:r>
      <w:r w:rsidR="0024268D">
        <w:rPr>
          <w:rFonts w:ascii="Arial" w:hAnsi="Arial" w:cs="Arial"/>
          <w:sz w:val="24"/>
        </w:rPr>
        <w:t xml:space="preserve"> </w:t>
      </w:r>
      <w:r w:rsidR="00636311">
        <w:rPr>
          <w:rFonts w:ascii="Arial" w:hAnsi="Arial" w:cs="Arial"/>
          <w:sz w:val="24"/>
        </w:rPr>
        <w:t xml:space="preserve"> </w:t>
      </w:r>
      <w:r>
        <w:rPr>
          <w:rFonts w:ascii="Arial" w:hAnsi="Arial" w:cs="Arial"/>
          <w:sz w:val="24"/>
        </w:rPr>
        <w:t xml:space="preserve">See the </w:t>
      </w:r>
      <w:r w:rsidR="00C53BE4">
        <w:rPr>
          <w:rFonts w:ascii="Arial" w:hAnsi="Arial" w:cs="Arial"/>
          <w:sz w:val="24"/>
        </w:rPr>
        <w:t>F</w:t>
      </w:r>
      <w:r>
        <w:rPr>
          <w:rFonts w:ascii="Arial" w:hAnsi="Arial" w:cs="Arial"/>
          <w:sz w:val="24"/>
        </w:rPr>
        <w:t>igure above.</w:t>
      </w:r>
    </w:p>
    <w:p w:rsidR="00A56C6D" w:rsidRDefault="00A56C6D" w:rsidP="0030494C">
      <w:pPr>
        <w:jc w:val="both"/>
        <w:rPr>
          <w:rFonts w:ascii="Arial" w:hAnsi="Arial" w:cs="Arial"/>
          <w:sz w:val="24"/>
          <w:u w:val="single"/>
        </w:rPr>
      </w:pPr>
    </w:p>
    <w:p w:rsidR="000B3A2D" w:rsidRPr="003C27BC" w:rsidRDefault="000B3A2D" w:rsidP="0030494C">
      <w:pPr>
        <w:jc w:val="both"/>
        <w:rPr>
          <w:rFonts w:ascii="Arial" w:hAnsi="Arial" w:cs="Arial"/>
          <w:sz w:val="24"/>
          <w:u w:val="single"/>
        </w:rPr>
      </w:pPr>
      <w:r w:rsidRPr="003C27BC">
        <w:rPr>
          <w:rFonts w:ascii="Arial" w:hAnsi="Arial" w:cs="Arial"/>
          <w:sz w:val="24"/>
          <w:u w:val="single"/>
        </w:rPr>
        <w:t>Grade 4</w:t>
      </w:r>
    </w:p>
    <w:p w:rsidR="00694C7D" w:rsidRPr="0063509C" w:rsidRDefault="000B3A2D" w:rsidP="00694C7D">
      <w:pPr>
        <w:spacing w:line="360" w:lineRule="auto"/>
        <w:jc w:val="both"/>
        <w:rPr>
          <w:rFonts w:ascii="Arial" w:hAnsi="Arial" w:cs="Arial"/>
          <w:sz w:val="24"/>
        </w:rPr>
      </w:pPr>
      <w:r w:rsidRPr="00494B23">
        <w:rPr>
          <w:rFonts w:ascii="Arial" w:hAnsi="Arial" w:cs="Arial"/>
          <w:sz w:val="24"/>
        </w:rPr>
        <w:t xml:space="preserve">There </w:t>
      </w:r>
      <w:r w:rsidR="006C500C">
        <w:rPr>
          <w:rFonts w:ascii="Arial" w:hAnsi="Arial" w:cs="Arial"/>
          <w:sz w:val="24"/>
        </w:rPr>
        <w:t>was</w:t>
      </w:r>
      <w:r w:rsidRPr="00494B23">
        <w:rPr>
          <w:rFonts w:ascii="Arial" w:hAnsi="Arial" w:cs="Arial"/>
          <w:sz w:val="24"/>
        </w:rPr>
        <w:t xml:space="preserve"> a</w:t>
      </w:r>
      <w:r w:rsidR="009C69C4">
        <w:rPr>
          <w:rFonts w:ascii="Arial" w:hAnsi="Arial" w:cs="Arial"/>
          <w:sz w:val="24"/>
        </w:rPr>
        <w:t>n</w:t>
      </w:r>
      <w:r w:rsidR="00196689">
        <w:rPr>
          <w:rFonts w:ascii="Arial" w:hAnsi="Arial" w:cs="Arial"/>
          <w:sz w:val="24"/>
        </w:rPr>
        <w:t xml:space="preserve"> </w:t>
      </w:r>
      <w:r w:rsidRPr="00494B23">
        <w:rPr>
          <w:rFonts w:ascii="Arial" w:hAnsi="Arial" w:cs="Arial"/>
          <w:sz w:val="24"/>
        </w:rPr>
        <w:t>increase (</w:t>
      </w:r>
      <w:r w:rsidR="00BE713C">
        <w:rPr>
          <w:rFonts w:ascii="Arial" w:hAnsi="Arial" w:cs="Arial"/>
          <w:sz w:val="24"/>
        </w:rPr>
        <w:t>+</w:t>
      </w:r>
      <w:r w:rsidR="004A4828">
        <w:rPr>
          <w:rFonts w:ascii="Arial" w:hAnsi="Arial" w:cs="Arial"/>
          <w:sz w:val="24"/>
        </w:rPr>
        <w:t>10</w:t>
      </w:r>
      <w:r w:rsidRPr="009A2193">
        <w:rPr>
          <w:rFonts w:ascii="Arial" w:hAnsi="Arial" w:cs="Arial"/>
          <w:sz w:val="24"/>
        </w:rPr>
        <w:t>.</w:t>
      </w:r>
      <w:r w:rsidR="004A4828">
        <w:rPr>
          <w:rFonts w:ascii="Arial" w:hAnsi="Arial" w:cs="Arial"/>
          <w:sz w:val="24"/>
        </w:rPr>
        <w:t>03</w:t>
      </w:r>
      <w:r w:rsidRPr="009A2193">
        <w:rPr>
          <w:rFonts w:ascii="Arial" w:hAnsi="Arial" w:cs="Arial"/>
          <w:sz w:val="24"/>
        </w:rPr>
        <w:t xml:space="preserve"> points</w:t>
      </w:r>
      <w:r w:rsidRPr="00494B23">
        <w:rPr>
          <w:rFonts w:ascii="Arial" w:hAnsi="Arial" w:cs="Arial"/>
          <w:sz w:val="24"/>
        </w:rPr>
        <w:t xml:space="preserve">) in </w:t>
      </w:r>
      <w:r>
        <w:rPr>
          <w:rFonts w:ascii="Arial" w:hAnsi="Arial" w:cs="Arial"/>
          <w:sz w:val="24"/>
        </w:rPr>
        <w:t>the average score</w:t>
      </w:r>
      <w:r w:rsidRPr="00494B23">
        <w:rPr>
          <w:rFonts w:ascii="Arial" w:hAnsi="Arial" w:cs="Arial"/>
          <w:sz w:val="24"/>
        </w:rPr>
        <w:t xml:space="preserve"> since </w:t>
      </w:r>
      <w:r>
        <w:rPr>
          <w:rFonts w:ascii="Arial" w:hAnsi="Arial" w:cs="Arial"/>
          <w:sz w:val="24"/>
        </w:rPr>
        <w:t xml:space="preserve">the </w:t>
      </w:r>
      <w:r w:rsidRPr="00494B23">
        <w:rPr>
          <w:rFonts w:ascii="Arial" w:hAnsi="Arial" w:cs="Arial"/>
          <w:sz w:val="24"/>
        </w:rPr>
        <w:t>baseline</w:t>
      </w:r>
      <w:r>
        <w:rPr>
          <w:rFonts w:ascii="Arial" w:hAnsi="Arial" w:cs="Arial"/>
          <w:sz w:val="24"/>
        </w:rPr>
        <w:t xml:space="preserve"> assessment in 2014. The increase in the average scores could be regarded as a word gain of approximately </w:t>
      </w:r>
      <w:r w:rsidR="009C69C4">
        <w:rPr>
          <w:rFonts w:ascii="Arial" w:hAnsi="Arial" w:cs="Arial"/>
          <w:sz w:val="24"/>
        </w:rPr>
        <w:t>6</w:t>
      </w:r>
      <w:r w:rsidR="00E4060F">
        <w:rPr>
          <w:rFonts w:ascii="Arial" w:hAnsi="Arial" w:cs="Arial"/>
          <w:sz w:val="24"/>
        </w:rPr>
        <w:t xml:space="preserve"> </w:t>
      </w:r>
      <w:r>
        <w:rPr>
          <w:rFonts w:ascii="Arial" w:hAnsi="Arial" w:cs="Arial"/>
          <w:sz w:val="24"/>
        </w:rPr>
        <w:t xml:space="preserve">months compared to the baseline learners at the start </w:t>
      </w:r>
      <w:r>
        <w:rPr>
          <w:rFonts w:ascii="Arial" w:hAnsi="Arial" w:cs="Arial"/>
          <w:sz w:val="24"/>
        </w:rPr>
        <w:lastRenderedPageBreak/>
        <w:t>of the project.</w:t>
      </w:r>
      <w:r w:rsidR="00AB5488">
        <w:rPr>
          <w:rFonts w:ascii="Arial" w:hAnsi="Arial" w:cs="Arial"/>
          <w:sz w:val="24"/>
        </w:rPr>
        <w:t xml:space="preserve"> There </w:t>
      </w:r>
      <w:r w:rsidR="006C500C">
        <w:rPr>
          <w:rFonts w:ascii="Arial" w:hAnsi="Arial" w:cs="Arial"/>
          <w:sz w:val="24"/>
        </w:rPr>
        <w:t>was</w:t>
      </w:r>
      <w:r w:rsidR="007417E3">
        <w:rPr>
          <w:rFonts w:ascii="Arial" w:hAnsi="Arial" w:cs="Arial"/>
          <w:sz w:val="24"/>
        </w:rPr>
        <w:t xml:space="preserve"> </w:t>
      </w:r>
      <w:r w:rsidR="009C69C4">
        <w:rPr>
          <w:rFonts w:ascii="Arial" w:hAnsi="Arial" w:cs="Arial"/>
          <w:sz w:val="24"/>
        </w:rPr>
        <w:t>an improvement</w:t>
      </w:r>
      <w:r w:rsidR="007D3833" w:rsidRPr="007D3833">
        <w:rPr>
          <w:rFonts w:ascii="Arial" w:hAnsi="Arial" w:cs="Arial"/>
          <w:sz w:val="24"/>
        </w:rPr>
        <w:t xml:space="preserve"> </w:t>
      </w:r>
      <w:r w:rsidR="009C69C4">
        <w:rPr>
          <w:rFonts w:ascii="Arial" w:hAnsi="Arial" w:cs="Arial"/>
          <w:sz w:val="24"/>
        </w:rPr>
        <w:t>(+6</w:t>
      </w:r>
      <w:r w:rsidR="007D3833">
        <w:rPr>
          <w:rFonts w:ascii="Arial" w:hAnsi="Arial" w:cs="Arial"/>
          <w:sz w:val="24"/>
        </w:rPr>
        <w:t>.</w:t>
      </w:r>
      <w:r w:rsidR="009C69C4">
        <w:rPr>
          <w:rFonts w:ascii="Arial" w:hAnsi="Arial" w:cs="Arial"/>
          <w:sz w:val="24"/>
        </w:rPr>
        <w:t>8</w:t>
      </w:r>
      <w:r w:rsidR="007D3833">
        <w:rPr>
          <w:rFonts w:ascii="Arial" w:hAnsi="Arial" w:cs="Arial"/>
          <w:sz w:val="24"/>
        </w:rPr>
        <w:t>4) in the scores</w:t>
      </w:r>
      <w:r w:rsidR="00AB5488">
        <w:rPr>
          <w:rFonts w:ascii="Arial" w:hAnsi="Arial" w:cs="Arial"/>
          <w:sz w:val="24"/>
        </w:rPr>
        <w:t xml:space="preserve"> since last year</w:t>
      </w:r>
      <w:r w:rsidR="009C69C4">
        <w:rPr>
          <w:rFonts w:ascii="Arial" w:hAnsi="Arial" w:cs="Arial"/>
          <w:sz w:val="24"/>
        </w:rPr>
        <w:t xml:space="preserve"> and a </w:t>
      </w:r>
      <w:r w:rsidR="0030494C">
        <w:rPr>
          <w:rFonts w:ascii="Arial" w:hAnsi="Arial" w:cs="Arial"/>
          <w:sz w:val="24"/>
        </w:rPr>
        <w:t>small</w:t>
      </w:r>
      <w:r w:rsidR="009C69C4">
        <w:rPr>
          <w:rFonts w:ascii="Arial" w:hAnsi="Arial" w:cs="Arial"/>
          <w:sz w:val="24"/>
        </w:rPr>
        <w:t xml:space="preserve"> decline compared to 2015 and 2016 (-1.31 &amp; -1.1 respectively)</w:t>
      </w:r>
      <w:r w:rsidR="00AB5488">
        <w:rPr>
          <w:rFonts w:ascii="Arial" w:hAnsi="Arial" w:cs="Arial"/>
          <w:sz w:val="24"/>
        </w:rPr>
        <w:t xml:space="preserve">. </w:t>
      </w:r>
      <w:r w:rsidR="00BE713C">
        <w:rPr>
          <w:rFonts w:ascii="Arial" w:hAnsi="Arial" w:cs="Arial"/>
          <w:sz w:val="24"/>
        </w:rPr>
        <w:t>The word scores for the project learners were approximately 1.</w:t>
      </w:r>
      <w:r w:rsidR="0030494C">
        <w:rPr>
          <w:rFonts w:ascii="Arial" w:hAnsi="Arial" w:cs="Arial"/>
          <w:sz w:val="24"/>
        </w:rPr>
        <w:t>7</w:t>
      </w:r>
      <w:r w:rsidR="00BE713C">
        <w:rPr>
          <w:rFonts w:ascii="Arial" w:hAnsi="Arial" w:cs="Arial"/>
          <w:sz w:val="24"/>
        </w:rPr>
        <w:t xml:space="preserve"> years in advance of the control learners</w:t>
      </w:r>
      <w:r w:rsidR="004F3568">
        <w:rPr>
          <w:rFonts w:ascii="Arial" w:hAnsi="Arial" w:cs="Arial"/>
          <w:sz w:val="24"/>
        </w:rPr>
        <w:t xml:space="preserve"> in the area</w:t>
      </w:r>
      <w:r w:rsidR="00070F8F">
        <w:rPr>
          <w:rFonts w:ascii="Arial" w:hAnsi="Arial" w:cs="Arial"/>
          <w:sz w:val="24"/>
        </w:rPr>
        <w:t>,</w:t>
      </w:r>
      <w:r w:rsidR="00BE713C">
        <w:rPr>
          <w:rFonts w:ascii="Arial" w:hAnsi="Arial" w:cs="Arial"/>
          <w:sz w:val="24"/>
        </w:rPr>
        <w:t xml:space="preserve"> however, approximately </w:t>
      </w:r>
      <w:r w:rsidR="0030494C">
        <w:rPr>
          <w:rFonts w:ascii="Arial" w:hAnsi="Arial" w:cs="Arial"/>
          <w:sz w:val="24"/>
        </w:rPr>
        <w:t>1</w:t>
      </w:r>
      <w:r w:rsidR="00BE713C">
        <w:rPr>
          <w:rFonts w:ascii="Arial" w:hAnsi="Arial" w:cs="Arial"/>
          <w:sz w:val="24"/>
        </w:rPr>
        <w:t>.</w:t>
      </w:r>
      <w:r w:rsidR="003403B5">
        <w:rPr>
          <w:rFonts w:ascii="Arial" w:hAnsi="Arial" w:cs="Arial"/>
          <w:sz w:val="24"/>
        </w:rPr>
        <w:t>8</w:t>
      </w:r>
      <w:r w:rsidR="00BE713C">
        <w:rPr>
          <w:rFonts w:ascii="Arial" w:hAnsi="Arial" w:cs="Arial"/>
          <w:sz w:val="24"/>
        </w:rPr>
        <w:t xml:space="preserve"> years delay</w:t>
      </w:r>
      <w:r w:rsidR="004F3568">
        <w:rPr>
          <w:rFonts w:ascii="Arial" w:hAnsi="Arial" w:cs="Arial"/>
          <w:sz w:val="24"/>
        </w:rPr>
        <w:t>ed</w:t>
      </w:r>
      <w:r w:rsidR="00BE713C">
        <w:rPr>
          <w:rFonts w:ascii="Arial" w:hAnsi="Arial" w:cs="Arial"/>
          <w:sz w:val="24"/>
        </w:rPr>
        <w:t xml:space="preserve"> compared to a group of disadvantaged learners in the Western Cape. </w:t>
      </w:r>
      <w:r w:rsidR="00694C7D">
        <w:rPr>
          <w:rFonts w:ascii="Arial" w:hAnsi="Arial" w:cs="Arial"/>
          <w:sz w:val="24"/>
        </w:rPr>
        <w:t>T</w:t>
      </w:r>
      <w:r w:rsidR="00694C7D" w:rsidRPr="0063509C">
        <w:rPr>
          <w:rFonts w:ascii="Arial" w:hAnsi="Arial" w:cs="Arial"/>
          <w:sz w:val="24"/>
        </w:rPr>
        <w:t>he majority</w:t>
      </w:r>
      <w:r w:rsidR="00694C7D">
        <w:rPr>
          <w:rFonts w:ascii="Arial" w:hAnsi="Arial" w:cs="Arial"/>
          <w:sz w:val="24"/>
        </w:rPr>
        <w:t xml:space="preserve"> (</w:t>
      </w:r>
      <w:r w:rsidR="00694C7D" w:rsidRPr="0063509C">
        <w:rPr>
          <w:rFonts w:ascii="Arial" w:hAnsi="Arial" w:cs="Arial"/>
          <w:sz w:val="24"/>
        </w:rPr>
        <w:t>7</w:t>
      </w:r>
      <w:r w:rsidR="00694C7D">
        <w:rPr>
          <w:rFonts w:ascii="Arial" w:hAnsi="Arial" w:cs="Arial"/>
          <w:sz w:val="24"/>
        </w:rPr>
        <w:t>3</w:t>
      </w:r>
      <w:r w:rsidR="00694C7D" w:rsidRPr="0063509C">
        <w:rPr>
          <w:rFonts w:ascii="Arial" w:hAnsi="Arial" w:cs="Arial"/>
          <w:sz w:val="24"/>
        </w:rPr>
        <w:t xml:space="preserve">%) </w:t>
      </w:r>
      <w:r w:rsidR="00694C7D">
        <w:rPr>
          <w:rFonts w:ascii="Arial" w:hAnsi="Arial" w:cs="Arial"/>
          <w:sz w:val="24"/>
        </w:rPr>
        <w:t xml:space="preserve">of the </w:t>
      </w:r>
      <w:r w:rsidR="00694C7D" w:rsidRPr="0063509C">
        <w:rPr>
          <w:rFonts w:ascii="Arial" w:hAnsi="Arial" w:cs="Arial"/>
          <w:sz w:val="24"/>
        </w:rPr>
        <w:t xml:space="preserve">Grade </w:t>
      </w:r>
      <w:r w:rsidR="00694C7D">
        <w:rPr>
          <w:rFonts w:ascii="Arial" w:hAnsi="Arial" w:cs="Arial"/>
          <w:sz w:val="24"/>
        </w:rPr>
        <w:t xml:space="preserve">4 </w:t>
      </w:r>
      <w:r w:rsidR="00694C7D" w:rsidRPr="0063509C">
        <w:rPr>
          <w:rFonts w:ascii="Arial" w:hAnsi="Arial" w:cs="Arial"/>
          <w:sz w:val="24"/>
        </w:rPr>
        <w:t>of learners from the surrounding area could only write a maximum of 16 words,</w:t>
      </w:r>
      <w:r w:rsidR="00694C7D">
        <w:rPr>
          <w:rFonts w:ascii="Arial" w:hAnsi="Arial" w:cs="Arial"/>
          <w:sz w:val="24"/>
        </w:rPr>
        <w:t xml:space="preserve"> whereas</w:t>
      </w:r>
      <w:r w:rsidR="00694C7D" w:rsidRPr="0063509C">
        <w:rPr>
          <w:rFonts w:ascii="Arial" w:hAnsi="Arial" w:cs="Arial"/>
          <w:sz w:val="24"/>
        </w:rPr>
        <w:t xml:space="preserve"> the majority </w:t>
      </w:r>
      <w:r w:rsidR="00694C7D">
        <w:rPr>
          <w:rFonts w:ascii="Arial" w:hAnsi="Arial" w:cs="Arial"/>
          <w:sz w:val="24"/>
        </w:rPr>
        <w:t>(74</w:t>
      </w:r>
      <w:r w:rsidR="00694C7D" w:rsidRPr="0063509C">
        <w:rPr>
          <w:rFonts w:ascii="Arial" w:hAnsi="Arial" w:cs="Arial"/>
          <w:sz w:val="24"/>
        </w:rPr>
        <w:t xml:space="preserve">%) of the </w:t>
      </w:r>
      <w:proofErr w:type="spellStart"/>
      <w:r w:rsidR="00694C7D" w:rsidRPr="0063509C">
        <w:rPr>
          <w:rFonts w:ascii="Arial" w:hAnsi="Arial" w:cs="Arial"/>
          <w:sz w:val="24"/>
        </w:rPr>
        <w:t>Kwena</w:t>
      </w:r>
      <w:proofErr w:type="spellEnd"/>
      <w:r w:rsidR="00694C7D" w:rsidRPr="0063509C">
        <w:rPr>
          <w:rFonts w:ascii="Arial" w:hAnsi="Arial" w:cs="Arial"/>
          <w:sz w:val="24"/>
        </w:rPr>
        <w:t xml:space="preserve"> Basin children could write over 17 words per child</w:t>
      </w:r>
      <w:r w:rsidR="00694C7D">
        <w:rPr>
          <w:rFonts w:ascii="Arial" w:hAnsi="Arial" w:cs="Arial"/>
          <w:sz w:val="24"/>
        </w:rPr>
        <w:t>.</w:t>
      </w:r>
    </w:p>
    <w:p w:rsidR="000B3A2D" w:rsidRDefault="004A4828" w:rsidP="0030494C">
      <w:pPr>
        <w:spacing w:line="360" w:lineRule="auto"/>
        <w:jc w:val="both"/>
        <w:rPr>
          <w:rFonts w:ascii="Arial" w:hAnsi="Arial" w:cs="Arial"/>
          <w:i/>
          <w:sz w:val="24"/>
        </w:rPr>
      </w:pPr>
      <w:r>
        <w:rPr>
          <w:noProof/>
          <w:lang w:eastAsia="en-ZA" w:bidi="he-IL"/>
        </w:rPr>
        <w:drawing>
          <wp:inline distT="0" distB="0" distL="0" distR="0" wp14:anchorId="2A08E4F7" wp14:editId="3244ADF9">
            <wp:extent cx="5734050" cy="31337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3A2D" w:rsidRDefault="00C44D4B" w:rsidP="00263990">
      <w:pPr>
        <w:spacing w:line="360" w:lineRule="auto"/>
        <w:jc w:val="both"/>
        <w:rPr>
          <w:rFonts w:ascii="Arial" w:hAnsi="Arial" w:cs="Arial"/>
          <w:sz w:val="24"/>
        </w:rPr>
      </w:pPr>
      <w:r>
        <w:rPr>
          <w:rFonts w:ascii="Arial" w:hAnsi="Arial" w:cs="Arial"/>
          <w:sz w:val="24"/>
        </w:rPr>
        <w:t xml:space="preserve">The results at </w:t>
      </w:r>
      <w:r w:rsidR="00254868">
        <w:rPr>
          <w:rFonts w:ascii="Arial" w:hAnsi="Arial" w:cs="Arial"/>
          <w:sz w:val="24"/>
        </w:rPr>
        <w:t>Enkeldoorn (+</w:t>
      </w:r>
      <w:r w:rsidR="008B436E">
        <w:rPr>
          <w:rFonts w:ascii="Arial" w:hAnsi="Arial" w:cs="Arial"/>
          <w:sz w:val="24"/>
        </w:rPr>
        <w:t>74</w:t>
      </w:r>
      <w:r w:rsidR="00254868">
        <w:rPr>
          <w:rFonts w:ascii="Arial" w:hAnsi="Arial" w:cs="Arial"/>
          <w:sz w:val="24"/>
        </w:rPr>
        <w:t>.</w:t>
      </w:r>
      <w:r w:rsidR="008B436E">
        <w:rPr>
          <w:rFonts w:ascii="Arial" w:hAnsi="Arial" w:cs="Arial"/>
          <w:sz w:val="24"/>
        </w:rPr>
        <w:t>21</w:t>
      </w:r>
      <w:r w:rsidR="00254868">
        <w:rPr>
          <w:rFonts w:ascii="Arial" w:hAnsi="Arial" w:cs="Arial"/>
          <w:sz w:val="24"/>
        </w:rPr>
        <w:t>) and Klipspruit (+</w:t>
      </w:r>
      <w:r w:rsidR="008B436E">
        <w:rPr>
          <w:rFonts w:ascii="Arial" w:hAnsi="Arial" w:cs="Arial"/>
          <w:sz w:val="24"/>
        </w:rPr>
        <w:t>7</w:t>
      </w:r>
      <w:r w:rsidR="00254868">
        <w:rPr>
          <w:rFonts w:ascii="Arial" w:hAnsi="Arial" w:cs="Arial"/>
          <w:sz w:val="24"/>
        </w:rPr>
        <w:t>.</w:t>
      </w:r>
      <w:r w:rsidR="008B436E">
        <w:rPr>
          <w:rFonts w:ascii="Arial" w:hAnsi="Arial" w:cs="Arial"/>
          <w:sz w:val="24"/>
        </w:rPr>
        <w:t>1</w:t>
      </w:r>
      <w:r w:rsidR="00254868">
        <w:rPr>
          <w:rFonts w:ascii="Arial" w:hAnsi="Arial" w:cs="Arial"/>
          <w:sz w:val="24"/>
        </w:rPr>
        <w:t>)</w:t>
      </w:r>
      <w:r>
        <w:rPr>
          <w:rFonts w:ascii="Arial" w:hAnsi="Arial" w:cs="Arial"/>
          <w:sz w:val="24"/>
        </w:rPr>
        <w:t xml:space="preserve"> were higher than the initial baseline results, while the results at </w:t>
      </w:r>
      <w:proofErr w:type="spellStart"/>
      <w:r>
        <w:rPr>
          <w:rFonts w:ascii="Arial" w:hAnsi="Arial" w:cs="Arial"/>
          <w:sz w:val="24"/>
        </w:rPr>
        <w:t>U</w:t>
      </w:r>
      <w:r w:rsidR="00254868">
        <w:rPr>
          <w:rFonts w:ascii="Arial" w:hAnsi="Arial" w:cs="Arial"/>
          <w:sz w:val="24"/>
        </w:rPr>
        <w:t>m</w:t>
      </w:r>
      <w:r>
        <w:rPr>
          <w:rFonts w:ascii="Arial" w:hAnsi="Arial" w:cs="Arial"/>
          <w:sz w:val="24"/>
        </w:rPr>
        <w:t>thombophile</w:t>
      </w:r>
      <w:proofErr w:type="spellEnd"/>
      <w:r>
        <w:rPr>
          <w:rFonts w:ascii="Arial" w:hAnsi="Arial" w:cs="Arial"/>
          <w:sz w:val="24"/>
        </w:rPr>
        <w:t xml:space="preserve"> were</w:t>
      </w:r>
      <w:r w:rsidR="00254868">
        <w:rPr>
          <w:rFonts w:ascii="Arial" w:hAnsi="Arial" w:cs="Arial"/>
          <w:sz w:val="24"/>
        </w:rPr>
        <w:t xml:space="preserve"> significantly</w:t>
      </w:r>
      <w:r>
        <w:rPr>
          <w:rFonts w:ascii="Arial" w:hAnsi="Arial" w:cs="Arial"/>
          <w:sz w:val="24"/>
        </w:rPr>
        <w:t xml:space="preserve"> lower (-20.</w:t>
      </w:r>
      <w:r w:rsidR="008B436E">
        <w:rPr>
          <w:rFonts w:ascii="Arial" w:hAnsi="Arial" w:cs="Arial"/>
          <w:sz w:val="24"/>
        </w:rPr>
        <w:t>3</w:t>
      </w:r>
      <w:r>
        <w:rPr>
          <w:rFonts w:ascii="Arial" w:hAnsi="Arial" w:cs="Arial"/>
          <w:sz w:val="24"/>
        </w:rPr>
        <w:t>)</w:t>
      </w:r>
      <w:r w:rsidR="00AD1C15">
        <w:rPr>
          <w:rFonts w:ascii="Arial" w:hAnsi="Arial" w:cs="Arial"/>
          <w:sz w:val="24"/>
        </w:rPr>
        <w:t>.</w:t>
      </w:r>
      <w:r w:rsidR="00254868">
        <w:rPr>
          <w:rFonts w:ascii="Arial" w:hAnsi="Arial" w:cs="Arial"/>
          <w:sz w:val="24"/>
        </w:rPr>
        <w:t xml:space="preserve"> No baseline data had been gathered at Phakama at the start of the project.</w:t>
      </w:r>
      <w:r w:rsidR="009D703E">
        <w:rPr>
          <w:rFonts w:ascii="Arial" w:hAnsi="Arial" w:cs="Arial"/>
          <w:sz w:val="24"/>
        </w:rPr>
        <w:t xml:space="preserve"> </w:t>
      </w:r>
      <w:r w:rsidR="009D703E" w:rsidRPr="007361B0">
        <w:rPr>
          <w:rFonts w:ascii="Arial" w:hAnsi="Arial" w:cs="Arial"/>
          <w:sz w:val="24"/>
        </w:rPr>
        <w:t xml:space="preserve">There </w:t>
      </w:r>
      <w:r w:rsidR="00AD1C15" w:rsidRPr="007361B0">
        <w:rPr>
          <w:rFonts w:ascii="Arial" w:hAnsi="Arial" w:cs="Arial"/>
          <w:sz w:val="24"/>
        </w:rPr>
        <w:t>was</w:t>
      </w:r>
      <w:r w:rsidR="00812F07" w:rsidRPr="007361B0">
        <w:rPr>
          <w:rFonts w:ascii="Arial" w:hAnsi="Arial" w:cs="Arial"/>
          <w:sz w:val="24"/>
        </w:rPr>
        <w:t xml:space="preserve"> however</w:t>
      </w:r>
      <w:r w:rsidR="009D703E" w:rsidRPr="007361B0">
        <w:rPr>
          <w:rFonts w:ascii="Arial" w:hAnsi="Arial" w:cs="Arial"/>
          <w:sz w:val="24"/>
        </w:rPr>
        <w:t xml:space="preserve"> a decline in the average scores at </w:t>
      </w:r>
      <w:proofErr w:type="spellStart"/>
      <w:r w:rsidR="00263990">
        <w:rPr>
          <w:rFonts w:ascii="Arial" w:hAnsi="Arial" w:cs="Arial"/>
          <w:sz w:val="24"/>
        </w:rPr>
        <w:t>Umthombophile</w:t>
      </w:r>
      <w:proofErr w:type="spellEnd"/>
      <w:r w:rsidR="00263990">
        <w:rPr>
          <w:rFonts w:ascii="Arial" w:hAnsi="Arial" w:cs="Arial"/>
          <w:sz w:val="24"/>
        </w:rPr>
        <w:t>:</w:t>
      </w:r>
      <w:r w:rsidR="00AC3856" w:rsidRPr="007361B0">
        <w:rPr>
          <w:rFonts w:ascii="Arial" w:hAnsi="Arial" w:cs="Arial"/>
          <w:sz w:val="24"/>
        </w:rPr>
        <w:t xml:space="preserve"> </w:t>
      </w:r>
      <w:r w:rsidR="00AD1C15" w:rsidRPr="007361B0">
        <w:rPr>
          <w:rFonts w:ascii="Arial" w:hAnsi="Arial" w:cs="Arial"/>
          <w:sz w:val="24"/>
        </w:rPr>
        <w:t>(</w:t>
      </w:r>
      <w:r w:rsidR="00720F44" w:rsidRPr="007361B0">
        <w:rPr>
          <w:rFonts w:ascii="Arial" w:hAnsi="Arial" w:cs="Arial"/>
          <w:sz w:val="24"/>
        </w:rPr>
        <w:t>-</w:t>
      </w:r>
      <w:r w:rsidR="000B048B" w:rsidRPr="007361B0">
        <w:rPr>
          <w:rFonts w:ascii="Arial" w:hAnsi="Arial" w:cs="Arial"/>
          <w:sz w:val="24"/>
        </w:rPr>
        <w:t>20</w:t>
      </w:r>
      <w:r w:rsidR="00720F44" w:rsidRPr="007361B0">
        <w:rPr>
          <w:rFonts w:ascii="Arial" w:hAnsi="Arial" w:cs="Arial"/>
          <w:sz w:val="24"/>
        </w:rPr>
        <w:t>.</w:t>
      </w:r>
      <w:r w:rsidR="000B048B" w:rsidRPr="007361B0">
        <w:rPr>
          <w:rFonts w:ascii="Arial" w:hAnsi="Arial" w:cs="Arial"/>
          <w:sz w:val="24"/>
        </w:rPr>
        <w:t>10</w:t>
      </w:r>
      <w:r w:rsidR="00AD1C15" w:rsidRPr="007361B0">
        <w:rPr>
          <w:rFonts w:ascii="Arial" w:hAnsi="Arial" w:cs="Arial"/>
          <w:sz w:val="24"/>
        </w:rPr>
        <w:t>)</w:t>
      </w:r>
      <w:r w:rsidR="00720F44" w:rsidRPr="007361B0">
        <w:rPr>
          <w:rFonts w:ascii="Arial" w:hAnsi="Arial" w:cs="Arial"/>
          <w:sz w:val="24"/>
        </w:rPr>
        <w:t xml:space="preserve"> and Phakama: </w:t>
      </w:r>
      <w:r w:rsidR="00AD1C15" w:rsidRPr="007361B0">
        <w:rPr>
          <w:rFonts w:ascii="Arial" w:hAnsi="Arial" w:cs="Arial"/>
          <w:sz w:val="24"/>
        </w:rPr>
        <w:t>(</w:t>
      </w:r>
      <w:r w:rsidR="00720F44" w:rsidRPr="007361B0">
        <w:rPr>
          <w:rFonts w:ascii="Arial" w:hAnsi="Arial" w:cs="Arial"/>
          <w:sz w:val="24"/>
        </w:rPr>
        <w:t>-1</w:t>
      </w:r>
      <w:r w:rsidR="000B048B" w:rsidRPr="007361B0">
        <w:rPr>
          <w:rFonts w:ascii="Arial" w:hAnsi="Arial" w:cs="Arial"/>
          <w:sz w:val="24"/>
        </w:rPr>
        <w:t>7.94</w:t>
      </w:r>
      <w:r w:rsidR="00720F44" w:rsidRPr="007361B0">
        <w:rPr>
          <w:rFonts w:ascii="Arial" w:hAnsi="Arial" w:cs="Arial"/>
          <w:sz w:val="24"/>
        </w:rPr>
        <w:t>)</w:t>
      </w:r>
      <w:r w:rsidR="009D703E" w:rsidRPr="007361B0">
        <w:rPr>
          <w:rFonts w:ascii="Arial" w:hAnsi="Arial" w:cs="Arial"/>
          <w:sz w:val="24"/>
        </w:rPr>
        <w:t xml:space="preserve"> </w:t>
      </w:r>
      <w:r w:rsidR="000B048B" w:rsidRPr="007361B0">
        <w:rPr>
          <w:rFonts w:ascii="Arial" w:hAnsi="Arial" w:cs="Arial"/>
          <w:sz w:val="24"/>
        </w:rPr>
        <w:t>between 2016 and 2017</w:t>
      </w:r>
      <w:r w:rsidR="009D703E" w:rsidRPr="007361B0">
        <w:rPr>
          <w:rFonts w:ascii="Arial" w:hAnsi="Arial" w:cs="Arial"/>
          <w:sz w:val="24"/>
        </w:rPr>
        <w:t>.</w:t>
      </w:r>
      <w:r w:rsidR="00AC3856">
        <w:rPr>
          <w:rFonts w:ascii="Arial" w:hAnsi="Arial" w:cs="Arial"/>
          <w:sz w:val="24"/>
        </w:rPr>
        <w:t xml:space="preserve"> See discussion for further interpretation of these results.</w:t>
      </w:r>
      <w:r w:rsidR="00720F44">
        <w:rPr>
          <w:rFonts w:ascii="Arial" w:hAnsi="Arial" w:cs="Arial"/>
          <w:sz w:val="24"/>
        </w:rPr>
        <w:t xml:space="preserve"> </w:t>
      </w:r>
      <w:r w:rsidR="00AD1C15">
        <w:rPr>
          <w:rFonts w:ascii="Arial" w:hAnsi="Arial" w:cs="Arial"/>
          <w:sz w:val="24"/>
        </w:rPr>
        <w:t>From 2017 to 2018 t</w:t>
      </w:r>
      <w:r w:rsidR="000B3A2D">
        <w:rPr>
          <w:rFonts w:ascii="Arial" w:hAnsi="Arial" w:cs="Arial"/>
          <w:sz w:val="24"/>
        </w:rPr>
        <w:t xml:space="preserve">here </w:t>
      </w:r>
      <w:r w:rsidR="00AD1C15">
        <w:rPr>
          <w:rFonts w:ascii="Arial" w:hAnsi="Arial" w:cs="Arial"/>
          <w:sz w:val="24"/>
        </w:rPr>
        <w:t xml:space="preserve">were </w:t>
      </w:r>
      <w:r w:rsidR="00766D09">
        <w:rPr>
          <w:rFonts w:ascii="Arial" w:hAnsi="Arial" w:cs="Arial"/>
          <w:sz w:val="24"/>
        </w:rPr>
        <w:t>however</w:t>
      </w:r>
      <w:r w:rsidR="00597E39">
        <w:rPr>
          <w:rFonts w:ascii="Arial" w:hAnsi="Arial" w:cs="Arial"/>
          <w:sz w:val="24"/>
        </w:rPr>
        <w:t xml:space="preserve"> </w:t>
      </w:r>
      <w:r w:rsidR="008B436E">
        <w:rPr>
          <w:rFonts w:ascii="Arial" w:hAnsi="Arial" w:cs="Arial"/>
          <w:sz w:val="24"/>
        </w:rPr>
        <w:t>improvements</w:t>
      </w:r>
      <w:r w:rsidR="007D1135">
        <w:rPr>
          <w:rFonts w:ascii="Arial" w:hAnsi="Arial" w:cs="Arial"/>
          <w:sz w:val="24"/>
        </w:rPr>
        <w:t xml:space="preserve"> </w:t>
      </w:r>
      <w:r w:rsidR="000B3A2D">
        <w:rPr>
          <w:rFonts w:ascii="Arial" w:hAnsi="Arial" w:cs="Arial"/>
          <w:sz w:val="24"/>
        </w:rPr>
        <w:t xml:space="preserve">in the average scores at </w:t>
      </w:r>
      <w:r w:rsidR="0068202C">
        <w:rPr>
          <w:rFonts w:ascii="Arial" w:hAnsi="Arial" w:cs="Arial"/>
          <w:sz w:val="24"/>
        </w:rPr>
        <w:t xml:space="preserve">all four </w:t>
      </w:r>
      <w:r w:rsidR="000B3A2D">
        <w:rPr>
          <w:rFonts w:ascii="Arial" w:hAnsi="Arial" w:cs="Arial"/>
          <w:sz w:val="24"/>
        </w:rPr>
        <w:t>of the project schools</w:t>
      </w:r>
      <w:r w:rsidR="00AC3856">
        <w:rPr>
          <w:rFonts w:ascii="Arial" w:hAnsi="Arial" w:cs="Arial"/>
          <w:sz w:val="24"/>
        </w:rPr>
        <w:t>, albeit very small improvements at two of the schools</w:t>
      </w:r>
      <w:r w:rsidR="00D325C9">
        <w:rPr>
          <w:rFonts w:ascii="Arial" w:hAnsi="Arial" w:cs="Arial"/>
          <w:sz w:val="24"/>
        </w:rPr>
        <w:t xml:space="preserve">: Enkeldoorn = </w:t>
      </w:r>
      <w:r w:rsidR="009D703E">
        <w:rPr>
          <w:rFonts w:ascii="Arial" w:hAnsi="Arial" w:cs="Arial"/>
          <w:sz w:val="24"/>
        </w:rPr>
        <w:t>+</w:t>
      </w:r>
      <w:r w:rsidR="00D325C9">
        <w:rPr>
          <w:rFonts w:ascii="Arial" w:hAnsi="Arial" w:cs="Arial"/>
          <w:sz w:val="24"/>
        </w:rPr>
        <w:t xml:space="preserve">36.58; </w:t>
      </w:r>
      <w:proofErr w:type="spellStart"/>
      <w:r w:rsidR="00D325C9">
        <w:rPr>
          <w:rFonts w:ascii="Arial" w:hAnsi="Arial" w:cs="Arial"/>
          <w:sz w:val="24"/>
        </w:rPr>
        <w:t>Umthombophile</w:t>
      </w:r>
      <w:proofErr w:type="spellEnd"/>
      <w:r w:rsidR="00D325C9">
        <w:rPr>
          <w:rFonts w:ascii="Arial" w:hAnsi="Arial" w:cs="Arial"/>
          <w:sz w:val="24"/>
        </w:rPr>
        <w:t xml:space="preserve"> = </w:t>
      </w:r>
      <w:r w:rsidR="009D703E">
        <w:rPr>
          <w:rFonts w:ascii="Arial" w:hAnsi="Arial" w:cs="Arial"/>
          <w:sz w:val="24"/>
        </w:rPr>
        <w:t>+</w:t>
      </w:r>
      <w:r w:rsidR="00D325C9">
        <w:rPr>
          <w:rFonts w:ascii="Arial" w:hAnsi="Arial" w:cs="Arial"/>
          <w:sz w:val="24"/>
        </w:rPr>
        <w:t xml:space="preserve">.07; Phakama = </w:t>
      </w:r>
      <w:r w:rsidR="009D703E">
        <w:rPr>
          <w:rFonts w:ascii="Arial" w:hAnsi="Arial" w:cs="Arial"/>
          <w:sz w:val="24"/>
        </w:rPr>
        <w:t>+</w:t>
      </w:r>
      <w:r w:rsidR="00D325C9">
        <w:rPr>
          <w:rFonts w:ascii="Arial" w:hAnsi="Arial" w:cs="Arial"/>
          <w:sz w:val="24"/>
        </w:rPr>
        <w:t xml:space="preserve">.79 and Klipspruit = </w:t>
      </w:r>
      <w:r w:rsidR="009D703E">
        <w:rPr>
          <w:rFonts w:ascii="Arial" w:hAnsi="Arial" w:cs="Arial"/>
          <w:sz w:val="24"/>
        </w:rPr>
        <w:t>+</w:t>
      </w:r>
      <w:r w:rsidR="00D325C9">
        <w:rPr>
          <w:rFonts w:ascii="Arial" w:hAnsi="Arial" w:cs="Arial"/>
          <w:sz w:val="24"/>
        </w:rPr>
        <w:t>8.98.</w:t>
      </w:r>
      <w:r w:rsidR="009D703E">
        <w:rPr>
          <w:rFonts w:ascii="Arial" w:hAnsi="Arial" w:cs="Arial"/>
          <w:sz w:val="24"/>
        </w:rPr>
        <w:t xml:space="preserve"> </w:t>
      </w:r>
      <w:r w:rsidR="00597E39">
        <w:rPr>
          <w:rFonts w:ascii="Arial" w:hAnsi="Arial" w:cs="Arial"/>
          <w:sz w:val="24"/>
        </w:rPr>
        <w:t>The learners at Enkeldoorn were functioning 1.7 years (27.45 points) in advance of the average score expected of a child in Grade 4.</w:t>
      </w:r>
      <w:r w:rsidR="00E5558F">
        <w:rPr>
          <w:rFonts w:ascii="Arial" w:hAnsi="Arial" w:cs="Arial"/>
          <w:sz w:val="24"/>
        </w:rPr>
        <w:t xml:space="preserve"> </w:t>
      </w:r>
      <w:r w:rsidR="000B3A2D">
        <w:rPr>
          <w:rFonts w:ascii="Arial" w:hAnsi="Arial" w:cs="Arial"/>
          <w:sz w:val="24"/>
        </w:rPr>
        <w:t>See the Figure below.</w:t>
      </w:r>
    </w:p>
    <w:p w:rsidR="00B44E8C" w:rsidRDefault="008B436E" w:rsidP="00400232">
      <w:pPr>
        <w:spacing w:line="360" w:lineRule="auto"/>
        <w:jc w:val="both"/>
        <w:rPr>
          <w:rFonts w:ascii="Arial" w:hAnsi="Arial" w:cs="Arial"/>
          <w:b/>
          <w:sz w:val="24"/>
        </w:rPr>
      </w:pPr>
      <w:r>
        <w:rPr>
          <w:noProof/>
          <w:lang w:eastAsia="en-ZA" w:bidi="he-IL"/>
        </w:rPr>
        <w:lastRenderedPageBreak/>
        <w:drawing>
          <wp:inline distT="0" distB="0" distL="0" distR="0" wp14:anchorId="231F339A" wp14:editId="72085D2B">
            <wp:extent cx="5734050" cy="3581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3A2D" w:rsidRPr="00133AD7" w:rsidRDefault="000B3A2D" w:rsidP="00400232">
      <w:pPr>
        <w:spacing w:line="360" w:lineRule="auto"/>
        <w:jc w:val="both"/>
        <w:rPr>
          <w:rFonts w:ascii="Arial" w:hAnsi="Arial" w:cs="Arial"/>
          <w:b/>
          <w:sz w:val="24"/>
        </w:rPr>
      </w:pPr>
      <w:r w:rsidRPr="00133AD7">
        <w:rPr>
          <w:rFonts w:ascii="Arial" w:hAnsi="Arial" w:cs="Arial"/>
          <w:b/>
          <w:sz w:val="24"/>
        </w:rPr>
        <w:t>Discussion:</w:t>
      </w:r>
    </w:p>
    <w:p w:rsidR="009B1D4F" w:rsidRDefault="009B1D4F" w:rsidP="00850835">
      <w:pPr>
        <w:spacing w:line="360" w:lineRule="auto"/>
        <w:jc w:val="both"/>
        <w:rPr>
          <w:rFonts w:ascii="Arial" w:hAnsi="Arial" w:cs="Arial"/>
          <w:sz w:val="24"/>
        </w:rPr>
      </w:pPr>
      <w:r>
        <w:rPr>
          <w:rFonts w:ascii="Arial" w:hAnsi="Arial" w:cs="Arial"/>
          <w:sz w:val="24"/>
        </w:rPr>
        <w:t>The</w:t>
      </w:r>
      <w:r w:rsidR="00A70E22">
        <w:rPr>
          <w:rFonts w:ascii="Arial" w:hAnsi="Arial" w:cs="Arial"/>
          <w:sz w:val="24"/>
        </w:rPr>
        <w:t xml:space="preserve"> Word Test</w:t>
      </w:r>
      <w:r>
        <w:rPr>
          <w:rFonts w:ascii="Arial" w:hAnsi="Arial" w:cs="Arial"/>
          <w:sz w:val="24"/>
        </w:rPr>
        <w:t xml:space="preserve"> results were</w:t>
      </w:r>
      <w:r w:rsidR="00D01B05">
        <w:rPr>
          <w:rFonts w:ascii="Arial" w:hAnsi="Arial" w:cs="Arial"/>
          <w:sz w:val="24"/>
        </w:rPr>
        <w:t xml:space="preserve"> among</w:t>
      </w:r>
      <w:r>
        <w:rPr>
          <w:rFonts w:ascii="Arial" w:hAnsi="Arial" w:cs="Arial"/>
          <w:sz w:val="24"/>
        </w:rPr>
        <w:t xml:space="preserve"> the most positive and </w:t>
      </w:r>
      <w:r w:rsidR="00AF7A33">
        <w:rPr>
          <w:rFonts w:ascii="Arial" w:hAnsi="Arial" w:cs="Arial"/>
          <w:sz w:val="24"/>
        </w:rPr>
        <w:t>encouraging</w:t>
      </w:r>
      <w:r>
        <w:rPr>
          <w:rFonts w:ascii="Arial" w:hAnsi="Arial" w:cs="Arial"/>
          <w:sz w:val="24"/>
        </w:rPr>
        <w:t xml:space="preserve"> since the start of the project</w:t>
      </w:r>
      <w:r w:rsidR="00AE19AE">
        <w:rPr>
          <w:rFonts w:ascii="Arial" w:hAnsi="Arial" w:cs="Arial"/>
          <w:sz w:val="24"/>
        </w:rPr>
        <w:t>,</w:t>
      </w:r>
      <w:r w:rsidR="00F20945">
        <w:rPr>
          <w:rFonts w:ascii="Arial" w:hAnsi="Arial" w:cs="Arial"/>
          <w:sz w:val="24"/>
        </w:rPr>
        <w:t xml:space="preserve"> particularly for the learners</w:t>
      </w:r>
      <w:r w:rsidR="00AE19AE">
        <w:rPr>
          <w:rFonts w:ascii="Arial" w:hAnsi="Arial" w:cs="Arial"/>
          <w:sz w:val="24"/>
        </w:rPr>
        <w:t xml:space="preserve"> at</w:t>
      </w:r>
      <w:r w:rsidR="00F20945">
        <w:rPr>
          <w:rFonts w:ascii="Arial" w:hAnsi="Arial" w:cs="Arial"/>
          <w:sz w:val="24"/>
        </w:rPr>
        <w:t xml:space="preserve"> Enkeldoorn and Klipspruit Primary</w:t>
      </w:r>
      <w:r w:rsidR="00F20945" w:rsidRPr="00AE19AE">
        <w:rPr>
          <w:rFonts w:ascii="Arial" w:hAnsi="Arial" w:cs="Arial"/>
          <w:sz w:val="24"/>
        </w:rPr>
        <w:t>. The average scores</w:t>
      </w:r>
      <w:r w:rsidR="008C7C1E" w:rsidRPr="00AE19AE">
        <w:rPr>
          <w:rFonts w:ascii="Arial" w:hAnsi="Arial" w:cs="Arial"/>
          <w:sz w:val="24"/>
        </w:rPr>
        <w:t xml:space="preserve"> at the</w:t>
      </w:r>
      <w:r w:rsidR="00AE19AE" w:rsidRPr="00AE19AE">
        <w:rPr>
          <w:rFonts w:ascii="Arial" w:hAnsi="Arial" w:cs="Arial"/>
          <w:sz w:val="24"/>
        </w:rPr>
        <w:t>se</w:t>
      </w:r>
      <w:r w:rsidR="002C3662" w:rsidRPr="00AE19AE">
        <w:rPr>
          <w:rFonts w:ascii="Arial" w:hAnsi="Arial" w:cs="Arial"/>
          <w:sz w:val="24"/>
        </w:rPr>
        <w:t xml:space="preserve"> </w:t>
      </w:r>
      <w:r w:rsidR="008C7C1E" w:rsidRPr="00AE19AE">
        <w:rPr>
          <w:rFonts w:ascii="Arial" w:hAnsi="Arial" w:cs="Arial"/>
          <w:sz w:val="24"/>
        </w:rPr>
        <w:t>schools</w:t>
      </w:r>
      <w:r w:rsidR="00F20945" w:rsidRPr="00AE19AE">
        <w:rPr>
          <w:rFonts w:ascii="Arial" w:hAnsi="Arial" w:cs="Arial"/>
          <w:sz w:val="24"/>
        </w:rPr>
        <w:t xml:space="preserve"> have increased</w:t>
      </w:r>
      <w:r w:rsidR="00AE19AE" w:rsidRPr="00AE19AE">
        <w:rPr>
          <w:rFonts w:ascii="Arial" w:hAnsi="Arial" w:cs="Arial"/>
          <w:sz w:val="24"/>
        </w:rPr>
        <w:t xml:space="preserve"> steadily</w:t>
      </w:r>
      <w:r w:rsidR="00F20945" w:rsidRPr="00AE19AE">
        <w:rPr>
          <w:rFonts w:ascii="Arial" w:hAnsi="Arial" w:cs="Arial"/>
          <w:sz w:val="24"/>
        </w:rPr>
        <w:t xml:space="preserve"> since the start of the project.</w:t>
      </w:r>
      <w:r w:rsidR="00F20945">
        <w:rPr>
          <w:rFonts w:ascii="Arial" w:hAnsi="Arial" w:cs="Arial"/>
          <w:sz w:val="24"/>
        </w:rPr>
        <w:t xml:space="preserve"> </w:t>
      </w:r>
      <w:r>
        <w:rPr>
          <w:rFonts w:ascii="Arial" w:hAnsi="Arial" w:cs="Arial"/>
          <w:sz w:val="24"/>
        </w:rPr>
        <w:t>During this round of testing improvements</w:t>
      </w:r>
      <w:r w:rsidR="001F6F99">
        <w:rPr>
          <w:rFonts w:ascii="Arial" w:hAnsi="Arial" w:cs="Arial"/>
          <w:sz w:val="24"/>
        </w:rPr>
        <w:t xml:space="preserve"> were found</w:t>
      </w:r>
      <w:r>
        <w:rPr>
          <w:rFonts w:ascii="Arial" w:hAnsi="Arial" w:cs="Arial"/>
          <w:sz w:val="24"/>
        </w:rPr>
        <w:t xml:space="preserve"> in all but one</w:t>
      </w:r>
      <w:r w:rsidR="00486B10">
        <w:rPr>
          <w:rFonts w:ascii="Arial" w:hAnsi="Arial" w:cs="Arial"/>
          <w:sz w:val="24"/>
        </w:rPr>
        <w:t xml:space="preserve"> of the</w:t>
      </w:r>
      <w:r>
        <w:rPr>
          <w:rFonts w:ascii="Arial" w:hAnsi="Arial" w:cs="Arial"/>
          <w:sz w:val="24"/>
        </w:rPr>
        <w:t xml:space="preserve"> class</w:t>
      </w:r>
      <w:r w:rsidR="00486B10">
        <w:rPr>
          <w:rFonts w:ascii="Arial" w:hAnsi="Arial" w:cs="Arial"/>
          <w:sz w:val="24"/>
        </w:rPr>
        <w:t>es</w:t>
      </w:r>
      <w:r>
        <w:rPr>
          <w:rFonts w:ascii="Arial" w:hAnsi="Arial" w:cs="Arial"/>
          <w:sz w:val="24"/>
        </w:rPr>
        <w:t xml:space="preserve"> </w:t>
      </w:r>
      <w:r w:rsidR="001F6F99">
        <w:rPr>
          <w:rFonts w:ascii="Arial" w:hAnsi="Arial" w:cs="Arial"/>
          <w:sz w:val="24"/>
        </w:rPr>
        <w:t xml:space="preserve">of the project </w:t>
      </w:r>
      <w:r>
        <w:rPr>
          <w:rFonts w:ascii="Arial" w:hAnsi="Arial" w:cs="Arial"/>
          <w:sz w:val="24"/>
        </w:rPr>
        <w:t>schools. The one class that did not</w:t>
      </w:r>
      <w:r w:rsidR="006B1D5C">
        <w:rPr>
          <w:rFonts w:ascii="Arial" w:hAnsi="Arial" w:cs="Arial"/>
          <w:sz w:val="24"/>
        </w:rPr>
        <w:t xml:space="preserve"> show an</w:t>
      </w:r>
      <w:r>
        <w:rPr>
          <w:rFonts w:ascii="Arial" w:hAnsi="Arial" w:cs="Arial"/>
          <w:sz w:val="24"/>
        </w:rPr>
        <w:t xml:space="preserve"> improve</w:t>
      </w:r>
      <w:r w:rsidR="006B1D5C">
        <w:rPr>
          <w:rFonts w:ascii="Arial" w:hAnsi="Arial" w:cs="Arial"/>
          <w:sz w:val="24"/>
        </w:rPr>
        <w:t>ment</w:t>
      </w:r>
      <w:r>
        <w:rPr>
          <w:rFonts w:ascii="Arial" w:hAnsi="Arial" w:cs="Arial"/>
          <w:sz w:val="24"/>
        </w:rPr>
        <w:t xml:space="preserve"> from last year (Enkeldoorn, Grade 3), remains an outlier in terms of </w:t>
      </w:r>
      <w:r w:rsidR="00A70E22">
        <w:rPr>
          <w:rFonts w:ascii="Arial" w:hAnsi="Arial" w:cs="Arial"/>
          <w:sz w:val="24"/>
        </w:rPr>
        <w:t xml:space="preserve">its performance on this test and experienced </w:t>
      </w:r>
      <w:r w:rsidR="001F6F99">
        <w:rPr>
          <w:rFonts w:ascii="Arial" w:hAnsi="Arial" w:cs="Arial"/>
          <w:sz w:val="24"/>
        </w:rPr>
        <w:t xml:space="preserve">only </w:t>
      </w:r>
      <w:r w:rsidR="00A70E22">
        <w:rPr>
          <w:rFonts w:ascii="Arial" w:hAnsi="Arial" w:cs="Arial"/>
          <w:sz w:val="24"/>
        </w:rPr>
        <w:t>a nominal (-1) drop in</w:t>
      </w:r>
      <w:r w:rsidR="002623A4">
        <w:rPr>
          <w:rFonts w:ascii="Arial" w:hAnsi="Arial" w:cs="Arial"/>
          <w:sz w:val="24"/>
        </w:rPr>
        <w:t xml:space="preserve"> its</w:t>
      </w:r>
      <w:r w:rsidR="00A70E22">
        <w:rPr>
          <w:rFonts w:ascii="Arial" w:hAnsi="Arial" w:cs="Arial"/>
          <w:sz w:val="24"/>
        </w:rPr>
        <w:t xml:space="preserve"> score. </w:t>
      </w:r>
      <w:r w:rsidR="006B1D5C">
        <w:rPr>
          <w:rFonts w:ascii="Arial" w:hAnsi="Arial" w:cs="Arial"/>
          <w:sz w:val="24"/>
        </w:rPr>
        <w:t>Whereas there ha</w:t>
      </w:r>
      <w:r w:rsidR="007178CC">
        <w:rPr>
          <w:rFonts w:ascii="Arial" w:hAnsi="Arial" w:cs="Arial"/>
          <w:sz w:val="24"/>
        </w:rPr>
        <w:t>d</w:t>
      </w:r>
      <w:r w:rsidR="006B1D5C">
        <w:rPr>
          <w:rFonts w:ascii="Arial" w:hAnsi="Arial" w:cs="Arial"/>
          <w:sz w:val="24"/>
        </w:rPr>
        <w:t xml:space="preserve"> been a decline</w:t>
      </w:r>
      <w:r w:rsidR="00AF7A33">
        <w:rPr>
          <w:rFonts w:ascii="Arial" w:hAnsi="Arial" w:cs="Arial"/>
          <w:sz w:val="24"/>
        </w:rPr>
        <w:t xml:space="preserve"> </w:t>
      </w:r>
      <w:r w:rsidR="002623A4">
        <w:rPr>
          <w:rFonts w:ascii="Arial" w:hAnsi="Arial" w:cs="Arial"/>
          <w:sz w:val="24"/>
        </w:rPr>
        <w:t xml:space="preserve">in </w:t>
      </w:r>
      <w:r w:rsidR="00AF7A33">
        <w:rPr>
          <w:rFonts w:ascii="Arial" w:hAnsi="Arial" w:cs="Arial"/>
          <w:sz w:val="24"/>
        </w:rPr>
        <w:t>score</w:t>
      </w:r>
      <w:r w:rsidR="002623A4">
        <w:rPr>
          <w:rFonts w:ascii="Arial" w:hAnsi="Arial" w:cs="Arial"/>
          <w:sz w:val="24"/>
        </w:rPr>
        <w:t>s</w:t>
      </w:r>
      <w:r w:rsidR="006B1D5C">
        <w:rPr>
          <w:rFonts w:ascii="Arial" w:hAnsi="Arial" w:cs="Arial"/>
          <w:sz w:val="24"/>
        </w:rPr>
        <w:t xml:space="preserve"> </w:t>
      </w:r>
      <w:r w:rsidR="001F6F99">
        <w:rPr>
          <w:rFonts w:ascii="Arial" w:hAnsi="Arial" w:cs="Arial"/>
          <w:sz w:val="24"/>
        </w:rPr>
        <w:t xml:space="preserve">(in </w:t>
      </w:r>
      <w:r w:rsidR="00AF7A33">
        <w:rPr>
          <w:rFonts w:ascii="Arial" w:hAnsi="Arial" w:cs="Arial"/>
          <w:sz w:val="24"/>
        </w:rPr>
        <w:t>two</w:t>
      </w:r>
      <w:r w:rsidR="002623A4">
        <w:rPr>
          <w:rFonts w:ascii="Arial" w:hAnsi="Arial" w:cs="Arial"/>
          <w:sz w:val="24"/>
        </w:rPr>
        <w:t xml:space="preserve"> Grade 4</w:t>
      </w:r>
      <w:r w:rsidR="00AF7A33">
        <w:rPr>
          <w:rFonts w:ascii="Arial" w:hAnsi="Arial" w:cs="Arial"/>
          <w:sz w:val="24"/>
        </w:rPr>
        <w:t xml:space="preserve"> classes</w:t>
      </w:r>
      <w:r w:rsidR="006B1D5C">
        <w:rPr>
          <w:rFonts w:ascii="Arial" w:hAnsi="Arial" w:cs="Arial"/>
          <w:sz w:val="24"/>
        </w:rPr>
        <w:t xml:space="preserve"> </w:t>
      </w:r>
      <w:r w:rsidR="00AF7A33">
        <w:rPr>
          <w:rFonts w:ascii="Arial" w:hAnsi="Arial" w:cs="Arial"/>
          <w:sz w:val="24"/>
        </w:rPr>
        <w:t xml:space="preserve">and </w:t>
      </w:r>
      <w:r w:rsidR="002623A4">
        <w:rPr>
          <w:rFonts w:ascii="Arial" w:hAnsi="Arial" w:cs="Arial"/>
          <w:sz w:val="24"/>
        </w:rPr>
        <w:t xml:space="preserve">3 </w:t>
      </w:r>
      <w:r w:rsidR="00AF7A33">
        <w:rPr>
          <w:rFonts w:ascii="Arial" w:hAnsi="Arial" w:cs="Arial"/>
          <w:sz w:val="24"/>
        </w:rPr>
        <w:t>Grade 3</w:t>
      </w:r>
      <w:r w:rsidR="001F6F99">
        <w:rPr>
          <w:rFonts w:ascii="Arial" w:hAnsi="Arial" w:cs="Arial"/>
          <w:sz w:val="24"/>
        </w:rPr>
        <w:t xml:space="preserve"> </w:t>
      </w:r>
      <w:r w:rsidR="00AF7A33">
        <w:rPr>
          <w:rFonts w:ascii="Arial" w:hAnsi="Arial" w:cs="Arial"/>
          <w:sz w:val="24"/>
        </w:rPr>
        <w:t>classes) during the project</w:t>
      </w:r>
      <w:r w:rsidR="006B1D5C">
        <w:rPr>
          <w:rFonts w:ascii="Arial" w:hAnsi="Arial" w:cs="Arial"/>
          <w:sz w:val="24"/>
        </w:rPr>
        <w:t>, we have</w:t>
      </w:r>
      <w:r w:rsidR="005C5484">
        <w:rPr>
          <w:rFonts w:ascii="Arial" w:hAnsi="Arial" w:cs="Arial"/>
          <w:sz w:val="24"/>
        </w:rPr>
        <w:t xml:space="preserve"> </w:t>
      </w:r>
      <w:r w:rsidR="007178CC">
        <w:rPr>
          <w:rFonts w:ascii="Arial" w:hAnsi="Arial" w:cs="Arial"/>
          <w:sz w:val="24"/>
        </w:rPr>
        <w:t>now</w:t>
      </w:r>
      <w:r w:rsidR="006B1D5C">
        <w:rPr>
          <w:rFonts w:ascii="Arial" w:hAnsi="Arial" w:cs="Arial"/>
          <w:sz w:val="24"/>
        </w:rPr>
        <w:t xml:space="preserve"> </w:t>
      </w:r>
      <w:r w:rsidR="00AF7A33">
        <w:rPr>
          <w:rFonts w:ascii="Arial" w:hAnsi="Arial" w:cs="Arial"/>
          <w:sz w:val="24"/>
        </w:rPr>
        <w:t>started to see</w:t>
      </w:r>
      <w:r w:rsidR="006B1D5C">
        <w:rPr>
          <w:rFonts w:ascii="Arial" w:hAnsi="Arial" w:cs="Arial"/>
          <w:sz w:val="24"/>
        </w:rPr>
        <w:t xml:space="preserve"> a </w:t>
      </w:r>
      <w:r w:rsidR="005C5484">
        <w:rPr>
          <w:rFonts w:ascii="Arial" w:hAnsi="Arial" w:cs="Arial"/>
          <w:sz w:val="24"/>
        </w:rPr>
        <w:t>general</w:t>
      </w:r>
      <w:r w:rsidR="006B1D5C">
        <w:rPr>
          <w:rFonts w:ascii="Arial" w:hAnsi="Arial" w:cs="Arial"/>
          <w:sz w:val="24"/>
        </w:rPr>
        <w:t xml:space="preserve"> </w:t>
      </w:r>
      <w:r w:rsidR="006A691D">
        <w:rPr>
          <w:rFonts w:ascii="Arial" w:hAnsi="Arial" w:cs="Arial"/>
          <w:sz w:val="24"/>
        </w:rPr>
        <w:t>increase</w:t>
      </w:r>
      <w:r w:rsidR="006B1D5C">
        <w:rPr>
          <w:rFonts w:ascii="Arial" w:hAnsi="Arial" w:cs="Arial"/>
          <w:sz w:val="24"/>
        </w:rPr>
        <w:t xml:space="preserve"> in</w:t>
      </w:r>
      <w:r w:rsidR="00AF7A33">
        <w:rPr>
          <w:rFonts w:ascii="Arial" w:hAnsi="Arial" w:cs="Arial"/>
          <w:sz w:val="24"/>
        </w:rPr>
        <w:t xml:space="preserve"> the results in</w:t>
      </w:r>
      <w:r w:rsidR="006B1D5C">
        <w:rPr>
          <w:rFonts w:ascii="Arial" w:hAnsi="Arial" w:cs="Arial"/>
          <w:sz w:val="24"/>
        </w:rPr>
        <w:t xml:space="preserve"> all classes.</w:t>
      </w:r>
    </w:p>
    <w:p w:rsidR="00AF7A33" w:rsidRDefault="007178CC" w:rsidP="00F20945">
      <w:pPr>
        <w:spacing w:line="360" w:lineRule="auto"/>
        <w:jc w:val="both"/>
        <w:rPr>
          <w:rFonts w:ascii="Arial" w:hAnsi="Arial" w:cs="Arial"/>
          <w:sz w:val="24"/>
        </w:rPr>
      </w:pPr>
      <w:r>
        <w:rPr>
          <w:rFonts w:ascii="Arial" w:hAnsi="Arial" w:cs="Arial"/>
          <w:sz w:val="24"/>
        </w:rPr>
        <w:t>T</w:t>
      </w:r>
      <w:r w:rsidR="00AF7A33">
        <w:rPr>
          <w:rFonts w:ascii="Arial" w:hAnsi="Arial" w:cs="Arial"/>
          <w:sz w:val="24"/>
        </w:rPr>
        <w:t>he</w:t>
      </w:r>
      <w:r w:rsidR="001F6F99">
        <w:rPr>
          <w:rFonts w:ascii="Arial" w:hAnsi="Arial" w:cs="Arial"/>
          <w:sz w:val="24"/>
        </w:rPr>
        <w:t xml:space="preserve"> average word scores in</w:t>
      </w:r>
      <w:r w:rsidR="00AF7A33">
        <w:rPr>
          <w:rFonts w:ascii="Arial" w:hAnsi="Arial" w:cs="Arial"/>
          <w:sz w:val="24"/>
        </w:rPr>
        <w:t xml:space="preserve"> </w:t>
      </w:r>
      <w:r>
        <w:rPr>
          <w:rFonts w:ascii="Arial" w:hAnsi="Arial" w:cs="Arial"/>
          <w:sz w:val="24"/>
        </w:rPr>
        <w:t xml:space="preserve">both </w:t>
      </w:r>
      <w:r w:rsidR="00AF7A33">
        <w:rPr>
          <w:rFonts w:ascii="Arial" w:hAnsi="Arial" w:cs="Arial"/>
          <w:sz w:val="24"/>
        </w:rPr>
        <w:t xml:space="preserve">Grade 3 and Grade 4 were higher than the baseline test </w:t>
      </w:r>
      <w:proofErr w:type="gramStart"/>
      <w:r w:rsidR="00AF7A33">
        <w:rPr>
          <w:rFonts w:ascii="Arial" w:hAnsi="Arial" w:cs="Arial"/>
          <w:sz w:val="24"/>
        </w:rPr>
        <w:t>results  in</w:t>
      </w:r>
      <w:proofErr w:type="gramEnd"/>
      <w:r w:rsidR="00AF7A33">
        <w:rPr>
          <w:rFonts w:ascii="Arial" w:hAnsi="Arial" w:cs="Arial"/>
          <w:sz w:val="24"/>
        </w:rPr>
        <w:t xml:space="preserve"> 2014. Whereas the Grade 3 results show</w:t>
      </w:r>
      <w:r>
        <w:rPr>
          <w:rFonts w:ascii="Arial" w:hAnsi="Arial" w:cs="Arial"/>
          <w:sz w:val="24"/>
        </w:rPr>
        <w:t>ed</w:t>
      </w:r>
      <w:r w:rsidR="00AF7A33">
        <w:rPr>
          <w:rFonts w:ascii="Arial" w:hAnsi="Arial" w:cs="Arial"/>
          <w:sz w:val="24"/>
        </w:rPr>
        <w:t xml:space="preserve"> a</w:t>
      </w:r>
      <w:r>
        <w:rPr>
          <w:rFonts w:ascii="Arial" w:hAnsi="Arial" w:cs="Arial"/>
          <w:sz w:val="24"/>
        </w:rPr>
        <w:t>n initial</w:t>
      </w:r>
      <w:r w:rsidR="00AF7A33">
        <w:rPr>
          <w:rFonts w:ascii="Arial" w:hAnsi="Arial" w:cs="Arial"/>
          <w:sz w:val="24"/>
        </w:rPr>
        <w:t xml:space="preserve"> decline </w:t>
      </w:r>
      <w:r w:rsidR="00EA6C7A">
        <w:rPr>
          <w:rFonts w:ascii="Arial" w:hAnsi="Arial" w:cs="Arial"/>
          <w:sz w:val="24"/>
        </w:rPr>
        <w:t>at</w:t>
      </w:r>
      <w:r w:rsidR="00AF7A33">
        <w:rPr>
          <w:rFonts w:ascii="Arial" w:hAnsi="Arial" w:cs="Arial"/>
          <w:sz w:val="24"/>
        </w:rPr>
        <w:t xml:space="preserve"> the start of the project</w:t>
      </w:r>
      <w:r w:rsidR="001F6F99">
        <w:rPr>
          <w:rFonts w:ascii="Arial" w:hAnsi="Arial" w:cs="Arial"/>
          <w:sz w:val="24"/>
        </w:rPr>
        <w:t xml:space="preserve"> (2015 &amp; 2016), there has been a general improvement in the results in 2017 and 2018.</w:t>
      </w:r>
      <w:r w:rsidR="0080123B">
        <w:rPr>
          <w:rFonts w:ascii="Arial" w:hAnsi="Arial" w:cs="Arial"/>
          <w:sz w:val="24"/>
        </w:rPr>
        <w:t xml:space="preserve"> </w:t>
      </w:r>
      <w:r w:rsidR="00B42BC5">
        <w:rPr>
          <w:rFonts w:ascii="Arial" w:hAnsi="Arial" w:cs="Arial"/>
          <w:sz w:val="24"/>
        </w:rPr>
        <w:t>While t</w:t>
      </w:r>
      <w:r w:rsidR="0080123B">
        <w:rPr>
          <w:rFonts w:ascii="Arial" w:hAnsi="Arial" w:cs="Arial"/>
          <w:sz w:val="24"/>
        </w:rPr>
        <w:t xml:space="preserve">here </w:t>
      </w:r>
      <w:r w:rsidR="00B42BC5">
        <w:rPr>
          <w:rFonts w:ascii="Arial" w:hAnsi="Arial" w:cs="Arial"/>
          <w:sz w:val="24"/>
        </w:rPr>
        <w:t xml:space="preserve">was a decline in the average Grade 4 scores </w:t>
      </w:r>
      <w:r w:rsidR="00F262AE">
        <w:rPr>
          <w:rFonts w:ascii="Arial" w:hAnsi="Arial" w:cs="Arial"/>
          <w:sz w:val="24"/>
        </w:rPr>
        <w:t xml:space="preserve">at </w:t>
      </w:r>
      <w:r w:rsidR="00B42BC5">
        <w:rPr>
          <w:rFonts w:ascii="Arial" w:hAnsi="Arial" w:cs="Arial"/>
          <w:sz w:val="24"/>
        </w:rPr>
        <w:t>all</w:t>
      </w:r>
      <w:r w:rsidR="00F262AE">
        <w:rPr>
          <w:rFonts w:ascii="Arial" w:hAnsi="Arial" w:cs="Arial"/>
          <w:sz w:val="24"/>
        </w:rPr>
        <w:t xml:space="preserve"> the</w:t>
      </w:r>
      <w:r w:rsidR="00B42BC5">
        <w:rPr>
          <w:rFonts w:ascii="Arial" w:hAnsi="Arial" w:cs="Arial"/>
          <w:sz w:val="24"/>
        </w:rPr>
        <w:t xml:space="preserve"> schools</w:t>
      </w:r>
      <w:r w:rsidR="0080123B">
        <w:rPr>
          <w:rFonts w:ascii="Arial" w:hAnsi="Arial" w:cs="Arial"/>
          <w:sz w:val="24"/>
        </w:rPr>
        <w:t xml:space="preserve"> </w:t>
      </w:r>
      <w:r w:rsidR="00F262AE">
        <w:rPr>
          <w:rFonts w:ascii="Arial" w:hAnsi="Arial" w:cs="Arial"/>
          <w:sz w:val="24"/>
        </w:rPr>
        <w:t>last year (2017)</w:t>
      </w:r>
      <w:r w:rsidR="0080123B">
        <w:rPr>
          <w:rFonts w:ascii="Arial" w:hAnsi="Arial" w:cs="Arial"/>
          <w:sz w:val="24"/>
        </w:rPr>
        <w:t>, the</w:t>
      </w:r>
      <w:r w:rsidR="00B42BC5">
        <w:rPr>
          <w:rFonts w:ascii="Arial" w:hAnsi="Arial" w:cs="Arial"/>
          <w:sz w:val="24"/>
        </w:rPr>
        <w:t xml:space="preserve"> decline at two of the schools (</w:t>
      </w:r>
      <w:proofErr w:type="spellStart"/>
      <w:r w:rsidR="00B42BC5">
        <w:rPr>
          <w:rFonts w:ascii="Arial" w:hAnsi="Arial" w:cs="Arial"/>
          <w:sz w:val="24"/>
        </w:rPr>
        <w:t>Umtho</w:t>
      </w:r>
      <w:r w:rsidR="001C009E">
        <w:rPr>
          <w:rFonts w:ascii="Arial" w:hAnsi="Arial" w:cs="Arial"/>
          <w:sz w:val="24"/>
        </w:rPr>
        <w:t>m</w:t>
      </w:r>
      <w:r w:rsidR="00B42BC5">
        <w:rPr>
          <w:rFonts w:ascii="Arial" w:hAnsi="Arial" w:cs="Arial"/>
          <w:sz w:val="24"/>
        </w:rPr>
        <w:t>bophile</w:t>
      </w:r>
      <w:proofErr w:type="spellEnd"/>
      <w:r w:rsidR="00B42BC5">
        <w:rPr>
          <w:rFonts w:ascii="Arial" w:hAnsi="Arial" w:cs="Arial"/>
          <w:sz w:val="24"/>
        </w:rPr>
        <w:t xml:space="preserve"> and Phakama) w</w:t>
      </w:r>
      <w:r w:rsidR="00F262AE">
        <w:rPr>
          <w:rFonts w:ascii="Arial" w:hAnsi="Arial" w:cs="Arial"/>
          <w:sz w:val="24"/>
        </w:rPr>
        <w:t xml:space="preserve">as particularly </w:t>
      </w:r>
      <w:r w:rsidR="00B42BC5">
        <w:rPr>
          <w:rFonts w:ascii="Arial" w:hAnsi="Arial" w:cs="Arial"/>
          <w:sz w:val="24"/>
        </w:rPr>
        <w:t>significant. Th</w:t>
      </w:r>
      <w:r w:rsidR="0080123B">
        <w:rPr>
          <w:rFonts w:ascii="Arial" w:hAnsi="Arial" w:cs="Arial"/>
          <w:sz w:val="24"/>
        </w:rPr>
        <w:t>e</w:t>
      </w:r>
      <w:r w:rsidR="00B42BC5">
        <w:rPr>
          <w:rFonts w:ascii="Arial" w:hAnsi="Arial" w:cs="Arial"/>
          <w:sz w:val="24"/>
        </w:rPr>
        <w:t>re</w:t>
      </w:r>
      <w:r w:rsidR="0080123B">
        <w:rPr>
          <w:rFonts w:ascii="Arial" w:hAnsi="Arial" w:cs="Arial"/>
          <w:sz w:val="24"/>
        </w:rPr>
        <w:t xml:space="preserve"> have</w:t>
      </w:r>
      <w:r w:rsidR="00F262AE">
        <w:rPr>
          <w:rFonts w:ascii="Arial" w:hAnsi="Arial" w:cs="Arial"/>
          <w:sz w:val="24"/>
        </w:rPr>
        <w:t xml:space="preserve"> however</w:t>
      </w:r>
      <w:r w:rsidR="0080123B">
        <w:rPr>
          <w:rFonts w:ascii="Arial" w:hAnsi="Arial" w:cs="Arial"/>
          <w:sz w:val="24"/>
        </w:rPr>
        <w:t xml:space="preserve"> been small improvements in</w:t>
      </w:r>
      <w:r w:rsidR="00F262AE">
        <w:rPr>
          <w:rFonts w:ascii="Arial" w:hAnsi="Arial" w:cs="Arial"/>
          <w:sz w:val="24"/>
        </w:rPr>
        <w:t xml:space="preserve"> both</w:t>
      </w:r>
      <w:r w:rsidR="0080123B">
        <w:rPr>
          <w:rFonts w:ascii="Arial" w:hAnsi="Arial" w:cs="Arial"/>
          <w:sz w:val="24"/>
        </w:rPr>
        <w:t xml:space="preserve"> these classes </w:t>
      </w:r>
      <w:r w:rsidR="00F262AE">
        <w:rPr>
          <w:rFonts w:ascii="Arial" w:hAnsi="Arial" w:cs="Arial"/>
          <w:sz w:val="24"/>
        </w:rPr>
        <w:t>this year</w:t>
      </w:r>
      <w:r w:rsidR="0080123B">
        <w:rPr>
          <w:rFonts w:ascii="Arial" w:hAnsi="Arial" w:cs="Arial"/>
          <w:sz w:val="24"/>
        </w:rPr>
        <w:t xml:space="preserve">. The decline in these two </w:t>
      </w:r>
      <w:r w:rsidR="0080123B">
        <w:rPr>
          <w:rFonts w:ascii="Arial" w:hAnsi="Arial" w:cs="Arial"/>
          <w:sz w:val="24"/>
        </w:rPr>
        <w:lastRenderedPageBreak/>
        <w:t>classes</w:t>
      </w:r>
      <w:r w:rsidR="008F62BB">
        <w:rPr>
          <w:rFonts w:ascii="Arial" w:hAnsi="Arial" w:cs="Arial"/>
          <w:sz w:val="24"/>
        </w:rPr>
        <w:t xml:space="preserve"> in 2017</w:t>
      </w:r>
      <w:r w:rsidR="0080123B">
        <w:rPr>
          <w:rFonts w:ascii="Arial" w:hAnsi="Arial" w:cs="Arial"/>
          <w:sz w:val="24"/>
        </w:rPr>
        <w:t xml:space="preserve"> </w:t>
      </w:r>
      <w:r w:rsidR="006A394C">
        <w:rPr>
          <w:rFonts w:ascii="Arial" w:hAnsi="Arial" w:cs="Arial"/>
          <w:sz w:val="24"/>
        </w:rPr>
        <w:t>might</w:t>
      </w:r>
      <w:r w:rsidR="00F262AE">
        <w:rPr>
          <w:rFonts w:ascii="Arial" w:hAnsi="Arial" w:cs="Arial"/>
          <w:sz w:val="24"/>
        </w:rPr>
        <w:t xml:space="preserve"> have</w:t>
      </w:r>
      <w:r w:rsidR="006A394C">
        <w:rPr>
          <w:rFonts w:ascii="Arial" w:hAnsi="Arial" w:cs="Arial"/>
          <w:sz w:val="24"/>
        </w:rPr>
        <w:t xml:space="preserve"> </w:t>
      </w:r>
      <w:r w:rsidR="00CC35F9">
        <w:rPr>
          <w:rFonts w:ascii="Arial" w:hAnsi="Arial" w:cs="Arial"/>
          <w:sz w:val="24"/>
        </w:rPr>
        <w:t>be</w:t>
      </w:r>
      <w:r w:rsidR="00F262AE">
        <w:rPr>
          <w:rFonts w:ascii="Arial" w:hAnsi="Arial" w:cs="Arial"/>
          <w:sz w:val="24"/>
        </w:rPr>
        <w:t>en</w:t>
      </w:r>
      <w:r w:rsidR="00CC35F9">
        <w:rPr>
          <w:rFonts w:ascii="Arial" w:hAnsi="Arial" w:cs="Arial"/>
          <w:sz w:val="24"/>
        </w:rPr>
        <w:t xml:space="preserve"> </w:t>
      </w:r>
      <w:r w:rsidR="00592EA9">
        <w:rPr>
          <w:rFonts w:ascii="Arial" w:hAnsi="Arial" w:cs="Arial"/>
          <w:sz w:val="24"/>
        </w:rPr>
        <w:t>related</w:t>
      </w:r>
      <w:r w:rsidR="0080123B">
        <w:rPr>
          <w:rFonts w:ascii="Arial" w:hAnsi="Arial" w:cs="Arial"/>
          <w:sz w:val="24"/>
        </w:rPr>
        <w:t xml:space="preserve"> to the resignation</w:t>
      </w:r>
      <w:r w:rsidR="00F20945">
        <w:rPr>
          <w:rFonts w:ascii="Arial" w:hAnsi="Arial" w:cs="Arial"/>
          <w:sz w:val="24"/>
        </w:rPr>
        <w:t xml:space="preserve"> and redeployment</w:t>
      </w:r>
      <w:r w:rsidR="0080123B">
        <w:rPr>
          <w:rFonts w:ascii="Arial" w:hAnsi="Arial" w:cs="Arial"/>
          <w:sz w:val="24"/>
        </w:rPr>
        <w:t xml:space="preserve"> of the</w:t>
      </w:r>
      <w:r w:rsidR="00CC35F9">
        <w:rPr>
          <w:rFonts w:ascii="Arial" w:hAnsi="Arial" w:cs="Arial"/>
          <w:sz w:val="24"/>
        </w:rPr>
        <w:t xml:space="preserve"> two</w:t>
      </w:r>
      <w:r w:rsidR="0080123B">
        <w:rPr>
          <w:rFonts w:ascii="Arial" w:hAnsi="Arial" w:cs="Arial"/>
          <w:sz w:val="24"/>
        </w:rPr>
        <w:t xml:space="preserve"> multi-grade teachers </w:t>
      </w:r>
      <w:r w:rsidR="00CC35F9">
        <w:rPr>
          <w:rFonts w:ascii="Arial" w:hAnsi="Arial" w:cs="Arial"/>
          <w:sz w:val="24"/>
        </w:rPr>
        <w:t xml:space="preserve">who taught </w:t>
      </w:r>
      <w:r w:rsidR="0080123B">
        <w:rPr>
          <w:rFonts w:ascii="Arial" w:hAnsi="Arial" w:cs="Arial"/>
          <w:sz w:val="24"/>
        </w:rPr>
        <w:t>these classes</w:t>
      </w:r>
      <w:r w:rsidR="00F262AE">
        <w:rPr>
          <w:rFonts w:ascii="Arial" w:hAnsi="Arial" w:cs="Arial"/>
          <w:sz w:val="24"/>
        </w:rPr>
        <w:t xml:space="preserve"> during that year</w:t>
      </w:r>
      <w:r w:rsidR="0080123B">
        <w:rPr>
          <w:rFonts w:ascii="Arial" w:hAnsi="Arial" w:cs="Arial"/>
          <w:sz w:val="24"/>
        </w:rPr>
        <w:t>.</w:t>
      </w:r>
    </w:p>
    <w:p w:rsidR="009A43D7" w:rsidRPr="0063509C" w:rsidRDefault="006A691D" w:rsidP="0063509C">
      <w:pPr>
        <w:spacing w:line="360" w:lineRule="auto"/>
        <w:jc w:val="both"/>
        <w:rPr>
          <w:rFonts w:ascii="Arial" w:hAnsi="Arial" w:cs="Arial"/>
          <w:sz w:val="24"/>
          <w:u w:val="single"/>
        </w:rPr>
      </w:pPr>
      <w:r>
        <w:rPr>
          <w:rFonts w:ascii="Arial" w:hAnsi="Arial" w:cs="Arial"/>
          <w:sz w:val="24"/>
        </w:rPr>
        <w:t>The general trajectory of the word test results seem</w:t>
      </w:r>
      <w:r w:rsidR="00850835">
        <w:rPr>
          <w:rFonts w:ascii="Arial" w:hAnsi="Arial" w:cs="Arial"/>
          <w:sz w:val="24"/>
        </w:rPr>
        <w:t>s</w:t>
      </w:r>
      <w:r>
        <w:rPr>
          <w:rFonts w:ascii="Arial" w:hAnsi="Arial" w:cs="Arial"/>
          <w:sz w:val="24"/>
        </w:rPr>
        <w:t xml:space="preserve"> to indicate </w:t>
      </w:r>
      <w:r w:rsidR="00BB0B8E">
        <w:rPr>
          <w:rFonts w:ascii="Arial" w:hAnsi="Arial" w:cs="Arial"/>
          <w:sz w:val="24"/>
        </w:rPr>
        <w:t xml:space="preserve">a stabilisation and </w:t>
      </w:r>
      <w:r>
        <w:rPr>
          <w:rFonts w:ascii="Arial" w:hAnsi="Arial" w:cs="Arial"/>
          <w:sz w:val="24"/>
        </w:rPr>
        <w:t xml:space="preserve">that further incremental improvements might be possible. </w:t>
      </w:r>
      <w:r w:rsidR="00BB0B8E">
        <w:rPr>
          <w:rFonts w:ascii="Arial" w:hAnsi="Arial" w:cs="Arial"/>
          <w:sz w:val="24"/>
        </w:rPr>
        <w:t>T</w:t>
      </w:r>
      <w:r>
        <w:rPr>
          <w:rFonts w:ascii="Arial" w:hAnsi="Arial" w:cs="Arial"/>
          <w:sz w:val="24"/>
        </w:rPr>
        <w:t xml:space="preserve">he ongoing training and induction of the two new teachers </w:t>
      </w:r>
      <w:r w:rsidR="005C5484">
        <w:rPr>
          <w:rFonts w:ascii="Arial" w:hAnsi="Arial" w:cs="Arial"/>
          <w:sz w:val="24"/>
        </w:rPr>
        <w:t xml:space="preserve">to the project </w:t>
      </w:r>
      <w:r w:rsidR="00BB0B8E">
        <w:rPr>
          <w:rFonts w:ascii="Arial" w:hAnsi="Arial" w:cs="Arial"/>
          <w:sz w:val="24"/>
        </w:rPr>
        <w:t xml:space="preserve">would </w:t>
      </w:r>
      <w:r>
        <w:rPr>
          <w:rFonts w:ascii="Arial" w:hAnsi="Arial" w:cs="Arial"/>
          <w:sz w:val="24"/>
        </w:rPr>
        <w:t>also assist to improve the word knowledge of their learners</w:t>
      </w:r>
      <w:r w:rsidR="00FD2369">
        <w:rPr>
          <w:rFonts w:ascii="Arial" w:hAnsi="Arial" w:cs="Arial"/>
          <w:sz w:val="24"/>
        </w:rPr>
        <w:t xml:space="preserve"> further</w:t>
      </w:r>
      <w:r>
        <w:rPr>
          <w:rFonts w:ascii="Arial" w:hAnsi="Arial" w:cs="Arial"/>
          <w:sz w:val="24"/>
        </w:rPr>
        <w:t>.</w:t>
      </w:r>
      <w:r w:rsidR="00592EA9">
        <w:rPr>
          <w:rFonts w:ascii="Arial" w:hAnsi="Arial" w:cs="Arial"/>
          <w:sz w:val="24"/>
        </w:rPr>
        <w:t xml:space="preserve"> In addition, the more experienced project teachers have started to work in a more consistent and focussed way on developing not only the oral, but the written vocabulary of their learners.</w:t>
      </w:r>
      <w:r>
        <w:rPr>
          <w:rFonts w:ascii="Arial" w:hAnsi="Arial" w:cs="Arial"/>
          <w:sz w:val="24"/>
        </w:rPr>
        <w:t xml:space="preserve"> </w:t>
      </w:r>
      <w:r w:rsidR="00FD2369">
        <w:rPr>
          <w:rFonts w:ascii="Arial" w:hAnsi="Arial" w:cs="Arial"/>
          <w:sz w:val="24"/>
        </w:rPr>
        <w:t xml:space="preserve">It is hoped that these positive developments will continue into the future. </w:t>
      </w:r>
    </w:p>
    <w:p w:rsidR="008C7C1E" w:rsidRDefault="008C7C1E" w:rsidP="00F20945">
      <w:pPr>
        <w:spacing w:line="360" w:lineRule="auto"/>
        <w:jc w:val="both"/>
        <w:rPr>
          <w:rFonts w:ascii="Arial" w:hAnsi="Arial" w:cs="Arial"/>
          <w:sz w:val="24"/>
        </w:rPr>
      </w:pPr>
    </w:p>
    <w:p w:rsidR="008C7C1E" w:rsidRDefault="008C7C1E" w:rsidP="00F20945">
      <w:pPr>
        <w:spacing w:line="360" w:lineRule="auto"/>
        <w:jc w:val="both"/>
        <w:rPr>
          <w:rFonts w:ascii="Arial" w:hAnsi="Arial" w:cs="Arial"/>
          <w:sz w:val="24"/>
        </w:rPr>
      </w:pPr>
    </w:p>
    <w:p w:rsidR="008C7C1E" w:rsidRDefault="008C7C1E" w:rsidP="00F20945">
      <w:pPr>
        <w:spacing w:line="360" w:lineRule="auto"/>
        <w:jc w:val="both"/>
        <w:rPr>
          <w:rFonts w:ascii="Arial" w:hAnsi="Arial" w:cs="Arial"/>
          <w:sz w:val="24"/>
        </w:rPr>
      </w:pPr>
    </w:p>
    <w:p w:rsidR="008C7C1E" w:rsidRDefault="008C7C1E" w:rsidP="00F20945">
      <w:pPr>
        <w:spacing w:line="360" w:lineRule="auto"/>
        <w:jc w:val="both"/>
        <w:rPr>
          <w:rFonts w:ascii="Arial" w:hAnsi="Arial" w:cs="Arial"/>
          <w:sz w:val="24"/>
        </w:rPr>
      </w:pPr>
    </w:p>
    <w:p w:rsidR="008C7C1E" w:rsidRDefault="008C7C1E" w:rsidP="00F20945">
      <w:pPr>
        <w:spacing w:line="360" w:lineRule="auto"/>
        <w:jc w:val="both"/>
        <w:rPr>
          <w:rFonts w:ascii="Arial" w:hAnsi="Arial" w:cs="Arial"/>
          <w:sz w:val="24"/>
        </w:rPr>
      </w:pPr>
    </w:p>
    <w:p w:rsidR="008C7C1E" w:rsidRDefault="008C7C1E" w:rsidP="008C7C1E">
      <w:pPr>
        <w:spacing w:line="360" w:lineRule="auto"/>
        <w:jc w:val="center"/>
        <w:rPr>
          <w:rFonts w:ascii="Arial" w:hAnsi="Arial" w:cs="Arial"/>
          <w:sz w:val="24"/>
        </w:rPr>
      </w:pPr>
      <w:r>
        <w:rPr>
          <w:rFonts w:ascii="Arial" w:hAnsi="Arial" w:cs="Arial"/>
          <w:sz w:val="24"/>
        </w:rPr>
        <w:t>____________________________________</w:t>
      </w:r>
    </w:p>
    <w:sectPr w:rsidR="008C7C1E" w:rsidSect="00F13CD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9D" w:rsidRDefault="00EE189D" w:rsidP="00EB2B7F">
      <w:pPr>
        <w:spacing w:after="0" w:line="240" w:lineRule="auto"/>
      </w:pPr>
      <w:r>
        <w:separator/>
      </w:r>
    </w:p>
  </w:endnote>
  <w:endnote w:type="continuationSeparator" w:id="0">
    <w:p w:rsidR="00EE189D" w:rsidRDefault="00EE189D" w:rsidP="00EB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D" w:rsidRDefault="00421769">
    <w:pPr>
      <w:pStyle w:val="Footer"/>
      <w:jc w:val="center"/>
    </w:pPr>
    <w:r>
      <w:fldChar w:fldCharType="begin"/>
    </w:r>
    <w:r>
      <w:instrText xml:space="preserve"> PAGE   \* MERGEFORMAT </w:instrText>
    </w:r>
    <w:r>
      <w:fldChar w:fldCharType="separate"/>
    </w:r>
    <w:r w:rsidR="00C971A4">
      <w:rPr>
        <w:noProof/>
      </w:rPr>
      <w:t>3</w:t>
    </w:r>
    <w:r>
      <w:rPr>
        <w:noProof/>
      </w:rPr>
      <w:fldChar w:fldCharType="end"/>
    </w:r>
  </w:p>
  <w:p w:rsidR="000B3A2D" w:rsidRDefault="000B3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9D" w:rsidRDefault="00EE189D" w:rsidP="00EB2B7F">
      <w:pPr>
        <w:spacing w:after="0" w:line="240" w:lineRule="auto"/>
      </w:pPr>
      <w:r>
        <w:separator/>
      </w:r>
    </w:p>
  </w:footnote>
  <w:footnote w:type="continuationSeparator" w:id="0">
    <w:p w:rsidR="00EE189D" w:rsidRDefault="00EE189D" w:rsidP="00EB2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A3"/>
    <w:rsid w:val="00006FD0"/>
    <w:rsid w:val="00014347"/>
    <w:rsid w:val="00024FED"/>
    <w:rsid w:val="0003419E"/>
    <w:rsid w:val="00040B71"/>
    <w:rsid w:val="00050772"/>
    <w:rsid w:val="000515A7"/>
    <w:rsid w:val="0005466A"/>
    <w:rsid w:val="00070F8F"/>
    <w:rsid w:val="00085B1F"/>
    <w:rsid w:val="00092CB6"/>
    <w:rsid w:val="0009301C"/>
    <w:rsid w:val="00093023"/>
    <w:rsid w:val="00095A3E"/>
    <w:rsid w:val="000A127C"/>
    <w:rsid w:val="000A1F68"/>
    <w:rsid w:val="000A3AD6"/>
    <w:rsid w:val="000B048B"/>
    <w:rsid w:val="000B1B2C"/>
    <w:rsid w:val="000B3A2D"/>
    <w:rsid w:val="000B4E76"/>
    <w:rsid w:val="000C4784"/>
    <w:rsid w:val="000D050D"/>
    <w:rsid w:val="000D0D7C"/>
    <w:rsid w:val="000D4E74"/>
    <w:rsid w:val="000F1801"/>
    <w:rsid w:val="000F26B0"/>
    <w:rsid w:val="00105694"/>
    <w:rsid w:val="00111C81"/>
    <w:rsid w:val="00111D3B"/>
    <w:rsid w:val="001172EA"/>
    <w:rsid w:val="00126CAD"/>
    <w:rsid w:val="00126D82"/>
    <w:rsid w:val="00130F7A"/>
    <w:rsid w:val="00133AD7"/>
    <w:rsid w:val="00134B6E"/>
    <w:rsid w:val="00170566"/>
    <w:rsid w:val="00196689"/>
    <w:rsid w:val="001966CF"/>
    <w:rsid w:val="00197F9E"/>
    <w:rsid w:val="001B663F"/>
    <w:rsid w:val="001B73A7"/>
    <w:rsid w:val="001C009E"/>
    <w:rsid w:val="001C41B5"/>
    <w:rsid w:val="001D20DD"/>
    <w:rsid w:val="001D2BEF"/>
    <w:rsid w:val="001D3761"/>
    <w:rsid w:val="001E1FAC"/>
    <w:rsid w:val="001E7D17"/>
    <w:rsid w:val="001F6F99"/>
    <w:rsid w:val="00210AB1"/>
    <w:rsid w:val="0022094D"/>
    <w:rsid w:val="00236A8B"/>
    <w:rsid w:val="00237FDC"/>
    <w:rsid w:val="0024268D"/>
    <w:rsid w:val="00254868"/>
    <w:rsid w:val="00257AF7"/>
    <w:rsid w:val="002623A4"/>
    <w:rsid w:val="00263990"/>
    <w:rsid w:val="0027212E"/>
    <w:rsid w:val="00286B67"/>
    <w:rsid w:val="00286BEA"/>
    <w:rsid w:val="00291897"/>
    <w:rsid w:val="002A34B8"/>
    <w:rsid w:val="002A5A2B"/>
    <w:rsid w:val="002B30EC"/>
    <w:rsid w:val="002C0886"/>
    <w:rsid w:val="002C356C"/>
    <w:rsid w:val="002C3662"/>
    <w:rsid w:val="002D23DC"/>
    <w:rsid w:val="002D2E0D"/>
    <w:rsid w:val="002E2ABC"/>
    <w:rsid w:val="002E3049"/>
    <w:rsid w:val="002E5F3B"/>
    <w:rsid w:val="002F00B3"/>
    <w:rsid w:val="002F3577"/>
    <w:rsid w:val="002F5FCC"/>
    <w:rsid w:val="002F726C"/>
    <w:rsid w:val="002F774E"/>
    <w:rsid w:val="0030494C"/>
    <w:rsid w:val="00316566"/>
    <w:rsid w:val="003179A3"/>
    <w:rsid w:val="00327A3D"/>
    <w:rsid w:val="00330F85"/>
    <w:rsid w:val="00331B94"/>
    <w:rsid w:val="0033490E"/>
    <w:rsid w:val="00337A42"/>
    <w:rsid w:val="003403B5"/>
    <w:rsid w:val="00340DB8"/>
    <w:rsid w:val="00342381"/>
    <w:rsid w:val="00343034"/>
    <w:rsid w:val="0034586C"/>
    <w:rsid w:val="00350ECA"/>
    <w:rsid w:val="00356D1C"/>
    <w:rsid w:val="0036301D"/>
    <w:rsid w:val="00383616"/>
    <w:rsid w:val="00391779"/>
    <w:rsid w:val="0039541F"/>
    <w:rsid w:val="003A1F55"/>
    <w:rsid w:val="003B27A0"/>
    <w:rsid w:val="003B331F"/>
    <w:rsid w:val="003B7AE7"/>
    <w:rsid w:val="003C035D"/>
    <w:rsid w:val="003C27BC"/>
    <w:rsid w:val="003C2DE2"/>
    <w:rsid w:val="003D57A9"/>
    <w:rsid w:val="003E3688"/>
    <w:rsid w:val="003E5EBC"/>
    <w:rsid w:val="003F4263"/>
    <w:rsid w:val="003F7295"/>
    <w:rsid w:val="00400232"/>
    <w:rsid w:val="00417E63"/>
    <w:rsid w:val="00421769"/>
    <w:rsid w:val="00431201"/>
    <w:rsid w:val="004315DA"/>
    <w:rsid w:val="004319F6"/>
    <w:rsid w:val="004343F7"/>
    <w:rsid w:val="00435CFC"/>
    <w:rsid w:val="004422E2"/>
    <w:rsid w:val="0044478D"/>
    <w:rsid w:val="0045151C"/>
    <w:rsid w:val="00454034"/>
    <w:rsid w:val="00455518"/>
    <w:rsid w:val="0046042B"/>
    <w:rsid w:val="00475438"/>
    <w:rsid w:val="0048006E"/>
    <w:rsid w:val="004865DD"/>
    <w:rsid w:val="00486B10"/>
    <w:rsid w:val="004870CE"/>
    <w:rsid w:val="00487BA7"/>
    <w:rsid w:val="00494B23"/>
    <w:rsid w:val="004A4828"/>
    <w:rsid w:val="004A6400"/>
    <w:rsid w:val="004A7CCC"/>
    <w:rsid w:val="004C10C8"/>
    <w:rsid w:val="004D28D0"/>
    <w:rsid w:val="004D696C"/>
    <w:rsid w:val="004E12AB"/>
    <w:rsid w:val="004E2F7C"/>
    <w:rsid w:val="004E638A"/>
    <w:rsid w:val="004F3568"/>
    <w:rsid w:val="004F394A"/>
    <w:rsid w:val="004F5CBF"/>
    <w:rsid w:val="004F7BAB"/>
    <w:rsid w:val="0050736E"/>
    <w:rsid w:val="00507F1C"/>
    <w:rsid w:val="00512AB5"/>
    <w:rsid w:val="00513E58"/>
    <w:rsid w:val="00516476"/>
    <w:rsid w:val="00523026"/>
    <w:rsid w:val="005324EC"/>
    <w:rsid w:val="00547FD5"/>
    <w:rsid w:val="00551F0A"/>
    <w:rsid w:val="00552E12"/>
    <w:rsid w:val="00555546"/>
    <w:rsid w:val="005563B8"/>
    <w:rsid w:val="0057008A"/>
    <w:rsid w:val="0057707F"/>
    <w:rsid w:val="0058038A"/>
    <w:rsid w:val="005835E1"/>
    <w:rsid w:val="00592EA9"/>
    <w:rsid w:val="00597E39"/>
    <w:rsid w:val="005A1AF9"/>
    <w:rsid w:val="005A5204"/>
    <w:rsid w:val="005B482F"/>
    <w:rsid w:val="005C27D8"/>
    <w:rsid w:val="005C5484"/>
    <w:rsid w:val="005C5B19"/>
    <w:rsid w:val="005D2268"/>
    <w:rsid w:val="005F0982"/>
    <w:rsid w:val="005F1A05"/>
    <w:rsid w:val="005F2BC5"/>
    <w:rsid w:val="0063509C"/>
    <w:rsid w:val="00636311"/>
    <w:rsid w:val="00646266"/>
    <w:rsid w:val="00647275"/>
    <w:rsid w:val="00655AA3"/>
    <w:rsid w:val="00660C1C"/>
    <w:rsid w:val="0066164A"/>
    <w:rsid w:val="00674DD7"/>
    <w:rsid w:val="0067795F"/>
    <w:rsid w:val="00681F4B"/>
    <w:rsid w:val="0068202C"/>
    <w:rsid w:val="00682CEE"/>
    <w:rsid w:val="00694C7D"/>
    <w:rsid w:val="00697B44"/>
    <w:rsid w:val="006A0C03"/>
    <w:rsid w:val="006A0D15"/>
    <w:rsid w:val="006A1EAB"/>
    <w:rsid w:val="006A394C"/>
    <w:rsid w:val="006A691D"/>
    <w:rsid w:val="006A69C4"/>
    <w:rsid w:val="006A77E8"/>
    <w:rsid w:val="006B1D5C"/>
    <w:rsid w:val="006C1B2A"/>
    <w:rsid w:val="006C3E82"/>
    <w:rsid w:val="006C500C"/>
    <w:rsid w:val="006D1980"/>
    <w:rsid w:val="006D1B1E"/>
    <w:rsid w:val="006D3138"/>
    <w:rsid w:val="006E2501"/>
    <w:rsid w:val="006F6210"/>
    <w:rsid w:val="00701056"/>
    <w:rsid w:val="007178CC"/>
    <w:rsid w:val="00720F44"/>
    <w:rsid w:val="007361B0"/>
    <w:rsid w:val="007417E3"/>
    <w:rsid w:val="00742B60"/>
    <w:rsid w:val="00743D4B"/>
    <w:rsid w:val="00747897"/>
    <w:rsid w:val="00751824"/>
    <w:rsid w:val="00752589"/>
    <w:rsid w:val="00755298"/>
    <w:rsid w:val="007609A3"/>
    <w:rsid w:val="00765A06"/>
    <w:rsid w:val="00766D09"/>
    <w:rsid w:val="00774FD1"/>
    <w:rsid w:val="0079022B"/>
    <w:rsid w:val="007A0E6B"/>
    <w:rsid w:val="007A20C2"/>
    <w:rsid w:val="007A2921"/>
    <w:rsid w:val="007A315D"/>
    <w:rsid w:val="007A6258"/>
    <w:rsid w:val="007B056D"/>
    <w:rsid w:val="007B2513"/>
    <w:rsid w:val="007B4D6F"/>
    <w:rsid w:val="007D1135"/>
    <w:rsid w:val="007D2146"/>
    <w:rsid w:val="007D3833"/>
    <w:rsid w:val="007D533D"/>
    <w:rsid w:val="007D58B0"/>
    <w:rsid w:val="007E0698"/>
    <w:rsid w:val="007F705B"/>
    <w:rsid w:val="0080123B"/>
    <w:rsid w:val="00803162"/>
    <w:rsid w:val="00803A5D"/>
    <w:rsid w:val="00804AB8"/>
    <w:rsid w:val="00804FC3"/>
    <w:rsid w:val="0080701E"/>
    <w:rsid w:val="00807EC9"/>
    <w:rsid w:val="00812F07"/>
    <w:rsid w:val="00826F37"/>
    <w:rsid w:val="00831AB6"/>
    <w:rsid w:val="00840945"/>
    <w:rsid w:val="00850835"/>
    <w:rsid w:val="00856256"/>
    <w:rsid w:val="00856C84"/>
    <w:rsid w:val="008679DE"/>
    <w:rsid w:val="00871CFB"/>
    <w:rsid w:val="00875B72"/>
    <w:rsid w:val="00882CB3"/>
    <w:rsid w:val="00883512"/>
    <w:rsid w:val="00883B19"/>
    <w:rsid w:val="00887540"/>
    <w:rsid w:val="008A3F5F"/>
    <w:rsid w:val="008A5673"/>
    <w:rsid w:val="008B1D2A"/>
    <w:rsid w:val="008B436E"/>
    <w:rsid w:val="008C159A"/>
    <w:rsid w:val="008C3DA6"/>
    <w:rsid w:val="008C6635"/>
    <w:rsid w:val="008C7C1E"/>
    <w:rsid w:val="008D127D"/>
    <w:rsid w:val="008D4FA0"/>
    <w:rsid w:val="008E2078"/>
    <w:rsid w:val="008E2CCE"/>
    <w:rsid w:val="008E51DB"/>
    <w:rsid w:val="008F3184"/>
    <w:rsid w:val="008F54F7"/>
    <w:rsid w:val="008F62BB"/>
    <w:rsid w:val="00901F6F"/>
    <w:rsid w:val="0090721E"/>
    <w:rsid w:val="00912D45"/>
    <w:rsid w:val="009210A8"/>
    <w:rsid w:val="00931F57"/>
    <w:rsid w:val="00935F65"/>
    <w:rsid w:val="00937A99"/>
    <w:rsid w:val="009427B8"/>
    <w:rsid w:val="00946FB1"/>
    <w:rsid w:val="00967ED4"/>
    <w:rsid w:val="00971365"/>
    <w:rsid w:val="009811BE"/>
    <w:rsid w:val="009915FC"/>
    <w:rsid w:val="009924BC"/>
    <w:rsid w:val="00993A65"/>
    <w:rsid w:val="00994037"/>
    <w:rsid w:val="009A04A0"/>
    <w:rsid w:val="009A2193"/>
    <w:rsid w:val="009A2B52"/>
    <w:rsid w:val="009A3FD9"/>
    <w:rsid w:val="009A43D7"/>
    <w:rsid w:val="009B1D4F"/>
    <w:rsid w:val="009B5433"/>
    <w:rsid w:val="009C12B0"/>
    <w:rsid w:val="009C2AA5"/>
    <w:rsid w:val="009C555C"/>
    <w:rsid w:val="009C5584"/>
    <w:rsid w:val="009C64FA"/>
    <w:rsid w:val="009C69C4"/>
    <w:rsid w:val="009D2465"/>
    <w:rsid w:val="009D35EC"/>
    <w:rsid w:val="009D4301"/>
    <w:rsid w:val="009D703E"/>
    <w:rsid w:val="009E5852"/>
    <w:rsid w:val="009E6983"/>
    <w:rsid w:val="009F145E"/>
    <w:rsid w:val="009F6B78"/>
    <w:rsid w:val="00A02F29"/>
    <w:rsid w:val="00A03E26"/>
    <w:rsid w:val="00A045ED"/>
    <w:rsid w:val="00A05860"/>
    <w:rsid w:val="00A07143"/>
    <w:rsid w:val="00A07786"/>
    <w:rsid w:val="00A10C57"/>
    <w:rsid w:val="00A12D53"/>
    <w:rsid w:val="00A13491"/>
    <w:rsid w:val="00A17DC4"/>
    <w:rsid w:val="00A237B5"/>
    <w:rsid w:val="00A238AC"/>
    <w:rsid w:val="00A23A22"/>
    <w:rsid w:val="00A323A8"/>
    <w:rsid w:val="00A35AA3"/>
    <w:rsid w:val="00A36549"/>
    <w:rsid w:val="00A44856"/>
    <w:rsid w:val="00A47297"/>
    <w:rsid w:val="00A56C6D"/>
    <w:rsid w:val="00A62827"/>
    <w:rsid w:val="00A64C49"/>
    <w:rsid w:val="00A70E22"/>
    <w:rsid w:val="00A7318A"/>
    <w:rsid w:val="00A7663C"/>
    <w:rsid w:val="00A769CF"/>
    <w:rsid w:val="00A81CB3"/>
    <w:rsid w:val="00A81F9E"/>
    <w:rsid w:val="00A832F0"/>
    <w:rsid w:val="00A87AB2"/>
    <w:rsid w:val="00A9728B"/>
    <w:rsid w:val="00A97A42"/>
    <w:rsid w:val="00AB0A95"/>
    <w:rsid w:val="00AB3884"/>
    <w:rsid w:val="00AB5488"/>
    <w:rsid w:val="00AB6B33"/>
    <w:rsid w:val="00AC3856"/>
    <w:rsid w:val="00AC5424"/>
    <w:rsid w:val="00AD1C15"/>
    <w:rsid w:val="00AD61F6"/>
    <w:rsid w:val="00AE0531"/>
    <w:rsid w:val="00AE19AE"/>
    <w:rsid w:val="00AE38D0"/>
    <w:rsid w:val="00AE40AC"/>
    <w:rsid w:val="00AE4199"/>
    <w:rsid w:val="00AE65C7"/>
    <w:rsid w:val="00AF5DC1"/>
    <w:rsid w:val="00AF7A33"/>
    <w:rsid w:val="00B178D5"/>
    <w:rsid w:val="00B20CC6"/>
    <w:rsid w:val="00B31600"/>
    <w:rsid w:val="00B31DE7"/>
    <w:rsid w:val="00B34A33"/>
    <w:rsid w:val="00B42BC5"/>
    <w:rsid w:val="00B44E8C"/>
    <w:rsid w:val="00B54149"/>
    <w:rsid w:val="00B63BB3"/>
    <w:rsid w:val="00B645A8"/>
    <w:rsid w:val="00B67E72"/>
    <w:rsid w:val="00B719A9"/>
    <w:rsid w:val="00B9362C"/>
    <w:rsid w:val="00BA0423"/>
    <w:rsid w:val="00BB0B8E"/>
    <w:rsid w:val="00BB7159"/>
    <w:rsid w:val="00BC0052"/>
    <w:rsid w:val="00BC3D63"/>
    <w:rsid w:val="00BC4EF9"/>
    <w:rsid w:val="00BD4DD2"/>
    <w:rsid w:val="00BE713C"/>
    <w:rsid w:val="00BF0B14"/>
    <w:rsid w:val="00BF0CC5"/>
    <w:rsid w:val="00BF0D28"/>
    <w:rsid w:val="00BF6091"/>
    <w:rsid w:val="00BF6E16"/>
    <w:rsid w:val="00C01E8C"/>
    <w:rsid w:val="00C1095D"/>
    <w:rsid w:val="00C129D7"/>
    <w:rsid w:val="00C15558"/>
    <w:rsid w:val="00C218EF"/>
    <w:rsid w:val="00C2507B"/>
    <w:rsid w:val="00C2608D"/>
    <w:rsid w:val="00C30049"/>
    <w:rsid w:val="00C30477"/>
    <w:rsid w:val="00C32B27"/>
    <w:rsid w:val="00C414C9"/>
    <w:rsid w:val="00C44A1A"/>
    <w:rsid w:val="00C44ABB"/>
    <w:rsid w:val="00C44D4B"/>
    <w:rsid w:val="00C45481"/>
    <w:rsid w:val="00C51EF4"/>
    <w:rsid w:val="00C527EE"/>
    <w:rsid w:val="00C53BE4"/>
    <w:rsid w:val="00C55C89"/>
    <w:rsid w:val="00C5751E"/>
    <w:rsid w:val="00C64F2D"/>
    <w:rsid w:val="00C720D4"/>
    <w:rsid w:val="00C759C7"/>
    <w:rsid w:val="00C82857"/>
    <w:rsid w:val="00C90FC5"/>
    <w:rsid w:val="00C928D2"/>
    <w:rsid w:val="00C956C1"/>
    <w:rsid w:val="00C971A4"/>
    <w:rsid w:val="00CA318E"/>
    <w:rsid w:val="00CB1D44"/>
    <w:rsid w:val="00CB406E"/>
    <w:rsid w:val="00CB46B7"/>
    <w:rsid w:val="00CC13EF"/>
    <w:rsid w:val="00CC35F9"/>
    <w:rsid w:val="00CD0D22"/>
    <w:rsid w:val="00CD123D"/>
    <w:rsid w:val="00CD68FC"/>
    <w:rsid w:val="00CE1E04"/>
    <w:rsid w:val="00CE23FF"/>
    <w:rsid w:val="00CF1D51"/>
    <w:rsid w:val="00CF2085"/>
    <w:rsid w:val="00CF2D95"/>
    <w:rsid w:val="00D014EA"/>
    <w:rsid w:val="00D01ADC"/>
    <w:rsid w:val="00D01B05"/>
    <w:rsid w:val="00D13431"/>
    <w:rsid w:val="00D2100C"/>
    <w:rsid w:val="00D2264E"/>
    <w:rsid w:val="00D31B63"/>
    <w:rsid w:val="00D325C9"/>
    <w:rsid w:val="00D433F2"/>
    <w:rsid w:val="00D47047"/>
    <w:rsid w:val="00D57181"/>
    <w:rsid w:val="00D63CF6"/>
    <w:rsid w:val="00D650BE"/>
    <w:rsid w:val="00D67C48"/>
    <w:rsid w:val="00D70A24"/>
    <w:rsid w:val="00D74D49"/>
    <w:rsid w:val="00D856DC"/>
    <w:rsid w:val="00D91530"/>
    <w:rsid w:val="00D93F3B"/>
    <w:rsid w:val="00D96DCC"/>
    <w:rsid w:val="00D97699"/>
    <w:rsid w:val="00DB3028"/>
    <w:rsid w:val="00DC2BE5"/>
    <w:rsid w:val="00DC5670"/>
    <w:rsid w:val="00DD20A8"/>
    <w:rsid w:val="00DD32D8"/>
    <w:rsid w:val="00DF436D"/>
    <w:rsid w:val="00E05910"/>
    <w:rsid w:val="00E06FE7"/>
    <w:rsid w:val="00E11269"/>
    <w:rsid w:val="00E227C4"/>
    <w:rsid w:val="00E331A7"/>
    <w:rsid w:val="00E346BA"/>
    <w:rsid w:val="00E37BF2"/>
    <w:rsid w:val="00E4060F"/>
    <w:rsid w:val="00E4251D"/>
    <w:rsid w:val="00E45873"/>
    <w:rsid w:val="00E51940"/>
    <w:rsid w:val="00E51D97"/>
    <w:rsid w:val="00E55541"/>
    <w:rsid w:val="00E5558F"/>
    <w:rsid w:val="00E75434"/>
    <w:rsid w:val="00E76494"/>
    <w:rsid w:val="00E77DDB"/>
    <w:rsid w:val="00E94FAF"/>
    <w:rsid w:val="00EA6C7A"/>
    <w:rsid w:val="00EB0B10"/>
    <w:rsid w:val="00EB2B7F"/>
    <w:rsid w:val="00EB4B7B"/>
    <w:rsid w:val="00EC1B3F"/>
    <w:rsid w:val="00EC1E21"/>
    <w:rsid w:val="00EC38A7"/>
    <w:rsid w:val="00EC6296"/>
    <w:rsid w:val="00EC714F"/>
    <w:rsid w:val="00ED14E2"/>
    <w:rsid w:val="00ED1B6A"/>
    <w:rsid w:val="00ED62FE"/>
    <w:rsid w:val="00EE189D"/>
    <w:rsid w:val="00EF0139"/>
    <w:rsid w:val="00F02171"/>
    <w:rsid w:val="00F07442"/>
    <w:rsid w:val="00F13CDA"/>
    <w:rsid w:val="00F14ADD"/>
    <w:rsid w:val="00F20945"/>
    <w:rsid w:val="00F262AE"/>
    <w:rsid w:val="00F27FE5"/>
    <w:rsid w:val="00F37118"/>
    <w:rsid w:val="00F5531E"/>
    <w:rsid w:val="00F5625F"/>
    <w:rsid w:val="00F5771A"/>
    <w:rsid w:val="00F73F10"/>
    <w:rsid w:val="00F75D1B"/>
    <w:rsid w:val="00F86510"/>
    <w:rsid w:val="00F97FE5"/>
    <w:rsid w:val="00FA0D23"/>
    <w:rsid w:val="00FA5A69"/>
    <w:rsid w:val="00FA62AB"/>
    <w:rsid w:val="00FA6DAF"/>
    <w:rsid w:val="00FB2E71"/>
    <w:rsid w:val="00FC5C4F"/>
    <w:rsid w:val="00FD2369"/>
    <w:rsid w:val="00FD7EEA"/>
    <w:rsid w:val="00FE2581"/>
    <w:rsid w:val="00FE3CFD"/>
    <w:rsid w:val="00FF0FE9"/>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5A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A3"/>
    <w:rPr>
      <w:rFonts w:ascii="Tahoma" w:hAnsi="Tahoma" w:cs="Tahoma"/>
      <w:sz w:val="16"/>
      <w:szCs w:val="16"/>
    </w:rPr>
  </w:style>
  <w:style w:type="character" w:styleId="Hyperlink">
    <w:name w:val="Hyperlink"/>
    <w:uiPriority w:val="99"/>
    <w:rsid w:val="00FA0D23"/>
    <w:rPr>
      <w:rFonts w:cs="Times New Roman"/>
      <w:color w:val="0000FF"/>
      <w:u w:val="single"/>
    </w:rPr>
  </w:style>
  <w:style w:type="paragraph" w:styleId="Header">
    <w:name w:val="header"/>
    <w:basedOn w:val="Normal"/>
    <w:link w:val="HeaderChar"/>
    <w:uiPriority w:val="99"/>
    <w:rsid w:val="00EB2B7F"/>
    <w:pPr>
      <w:tabs>
        <w:tab w:val="center" w:pos="4513"/>
        <w:tab w:val="right" w:pos="9026"/>
      </w:tabs>
      <w:spacing w:after="0" w:line="240" w:lineRule="auto"/>
    </w:pPr>
  </w:style>
  <w:style w:type="character" w:customStyle="1" w:styleId="HeaderChar">
    <w:name w:val="Header Char"/>
    <w:link w:val="Header"/>
    <w:uiPriority w:val="99"/>
    <w:locked/>
    <w:rsid w:val="00EB2B7F"/>
    <w:rPr>
      <w:rFonts w:cs="Times New Roman"/>
    </w:rPr>
  </w:style>
  <w:style w:type="paragraph" w:styleId="Footer">
    <w:name w:val="footer"/>
    <w:basedOn w:val="Normal"/>
    <w:link w:val="FooterChar"/>
    <w:uiPriority w:val="99"/>
    <w:rsid w:val="00EB2B7F"/>
    <w:pPr>
      <w:tabs>
        <w:tab w:val="center" w:pos="4513"/>
        <w:tab w:val="right" w:pos="9026"/>
      </w:tabs>
      <w:spacing w:after="0" w:line="240" w:lineRule="auto"/>
    </w:pPr>
  </w:style>
  <w:style w:type="character" w:customStyle="1" w:styleId="FooterChar">
    <w:name w:val="Footer Char"/>
    <w:link w:val="Footer"/>
    <w:uiPriority w:val="99"/>
    <w:locked/>
    <w:rsid w:val="00EB2B7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5A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A3"/>
    <w:rPr>
      <w:rFonts w:ascii="Tahoma" w:hAnsi="Tahoma" w:cs="Tahoma"/>
      <w:sz w:val="16"/>
      <w:szCs w:val="16"/>
    </w:rPr>
  </w:style>
  <w:style w:type="character" w:styleId="Hyperlink">
    <w:name w:val="Hyperlink"/>
    <w:uiPriority w:val="99"/>
    <w:rsid w:val="00FA0D23"/>
    <w:rPr>
      <w:rFonts w:cs="Times New Roman"/>
      <w:color w:val="0000FF"/>
      <w:u w:val="single"/>
    </w:rPr>
  </w:style>
  <w:style w:type="paragraph" w:styleId="Header">
    <w:name w:val="header"/>
    <w:basedOn w:val="Normal"/>
    <w:link w:val="HeaderChar"/>
    <w:uiPriority w:val="99"/>
    <w:rsid w:val="00EB2B7F"/>
    <w:pPr>
      <w:tabs>
        <w:tab w:val="center" w:pos="4513"/>
        <w:tab w:val="right" w:pos="9026"/>
      </w:tabs>
      <w:spacing w:after="0" w:line="240" w:lineRule="auto"/>
    </w:pPr>
  </w:style>
  <w:style w:type="character" w:customStyle="1" w:styleId="HeaderChar">
    <w:name w:val="Header Char"/>
    <w:link w:val="Header"/>
    <w:uiPriority w:val="99"/>
    <w:locked/>
    <w:rsid w:val="00EB2B7F"/>
    <w:rPr>
      <w:rFonts w:cs="Times New Roman"/>
    </w:rPr>
  </w:style>
  <w:style w:type="paragraph" w:styleId="Footer">
    <w:name w:val="footer"/>
    <w:basedOn w:val="Normal"/>
    <w:link w:val="FooterChar"/>
    <w:uiPriority w:val="99"/>
    <w:rsid w:val="00EB2B7F"/>
    <w:pPr>
      <w:tabs>
        <w:tab w:val="center" w:pos="4513"/>
        <w:tab w:val="right" w:pos="9026"/>
      </w:tabs>
      <w:spacing w:after="0" w:line="240" w:lineRule="auto"/>
    </w:pPr>
  </w:style>
  <w:style w:type="character" w:customStyle="1" w:styleId="FooterChar">
    <w:name w:val="Footer Char"/>
    <w:link w:val="Footer"/>
    <w:uiPriority w:val="99"/>
    <w:locked/>
    <w:rsid w:val="00EB2B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2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ie_Cla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200"/>
            </a:pPr>
            <a:r>
              <a:rPr lang="en-US" sz="1200"/>
              <a:t>Kwena Basin:</a:t>
            </a:r>
            <a:r>
              <a:rPr lang="en-US" sz="1200" baseline="0"/>
              <a:t> Word Test, Grade 3 (2014-2018)</a:t>
            </a:r>
            <a:endParaRPr lang="en-US"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3917746502159669E-2"/>
          <c:y val="0.14315323197212959"/>
          <c:w val="0.92248645297290599"/>
          <c:h val="0.71167482443072994"/>
        </c:manualLayout>
      </c:layout>
      <c:bar3DChart>
        <c:barDir val="col"/>
        <c:grouping val="clustered"/>
        <c:varyColors val="0"/>
        <c:ser>
          <c:idx val="0"/>
          <c:order val="0"/>
          <c:tx>
            <c:strRef>
              <c:f>Sheet2!$L$177</c:f>
              <c:strCache>
                <c:ptCount val="1"/>
                <c:pt idx="0">
                  <c:v>Grade 3 </c:v>
                </c:pt>
              </c:strCache>
            </c:strRef>
          </c:tx>
          <c:invertIfNegative val="0"/>
          <c:dPt>
            <c:idx val="5"/>
            <c:invertIfNegative val="0"/>
            <c:bubble3D val="0"/>
            <c:spPr>
              <a:solidFill>
                <a:schemeClr val="accent2">
                  <a:lumMod val="60000"/>
                  <a:lumOff val="40000"/>
                </a:schemeClr>
              </a:solidFill>
            </c:spPr>
          </c:dPt>
          <c:dLbls>
            <c:txPr>
              <a:bodyPr/>
              <a:lstStyle/>
              <a:p>
                <a:pPr>
                  <a:defRPr sz="1200" b="1"/>
                </a:pPr>
                <a:endParaRPr lang="en-US"/>
              </a:p>
            </c:txPr>
            <c:showLegendKey val="0"/>
            <c:showVal val="1"/>
            <c:showCatName val="0"/>
            <c:showSerName val="0"/>
            <c:showPercent val="0"/>
            <c:showBubbleSize val="0"/>
            <c:showLeaderLines val="0"/>
          </c:dLbls>
          <c:cat>
            <c:strRef>
              <c:f>Sheet2!$M$176:$R$176</c:f>
              <c:strCache>
                <c:ptCount val="6"/>
                <c:pt idx="0">
                  <c:v>Kwena Basin 2014 </c:v>
                </c:pt>
                <c:pt idx="1">
                  <c:v>Kwena Basin 2015 </c:v>
                </c:pt>
                <c:pt idx="2">
                  <c:v>Kwena Basin 2016</c:v>
                </c:pt>
                <c:pt idx="3">
                  <c:v>Kwena Basin 2017</c:v>
                </c:pt>
                <c:pt idx="4">
                  <c:v>Kwena Basin 2018</c:v>
                </c:pt>
                <c:pt idx="5">
                  <c:v>Local Comparison</c:v>
                </c:pt>
              </c:strCache>
            </c:strRef>
          </c:cat>
          <c:val>
            <c:numRef>
              <c:f>Sheet2!$M$177:$R$177</c:f>
              <c:numCache>
                <c:formatCode>General</c:formatCode>
                <c:ptCount val="6"/>
                <c:pt idx="0">
                  <c:v>26.54</c:v>
                </c:pt>
                <c:pt idx="1">
                  <c:v>22.05</c:v>
                </c:pt>
                <c:pt idx="2">
                  <c:v>18.100000000000001</c:v>
                </c:pt>
                <c:pt idx="3">
                  <c:v>21.59</c:v>
                </c:pt>
                <c:pt idx="4">
                  <c:v>28.85</c:v>
                </c:pt>
                <c:pt idx="5">
                  <c:v>11.58</c:v>
                </c:pt>
              </c:numCache>
            </c:numRef>
          </c:val>
        </c:ser>
        <c:dLbls>
          <c:showLegendKey val="0"/>
          <c:showVal val="0"/>
          <c:showCatName val="0"/>
          <c:showSerName val="0"/>
          <c:showPercent val="0"/>
          <c:showBubbleSize val="0"/>
        </c:dLbls>
        <c:gapWidth val="75"/>
        <c:shape val="box"/>
        <c:axId val="64929152"/>
        <c:axId val="45134976"/>
        <c:axId val="0"/>
      </c:bar3DChart>
      <c:catAx>
        <c:axId val="64929152"/>
        <c:scaling>
          <c:orientation val="minMax"/>
        </c:scaling>
        <c:delete val="0"/>
        <c:axPos val="b"/>
        <c:majorTickMark val="none"/>
        <c:minorTickMark val="none"/>
        <c:tickLblPos val="nextTo"/>
        <c:crossAx val="45134976"/>
        <c:crosses val="autoZero"/>
        <c:auto val="1"/>
        <c:lblAlgn val="ctr"/>
        <c:lblOffset val="100"/>
        <c:noMultiLvlLbl val="0"/>
      </c:catAx>
      <c:valAx>
        <c:axId val="45134976"/>
        <c:scaling>
          <c:orientation val="minMax"/>
        </c:scaling>
        <c:delete val="0"/>
        <c:axPos val="l"/>
        <c:majorGridlines/>
        <c:numFmt formatCode="General" sourceLinked="1"/>
        <c:majorTickMark val="none"/>
        <c:minorTickMark val="none"/>
        <c:tickLblPos val="nextTo"/>
        <c:crossAx val="649291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 Test: Grade 3 (2014-2018)</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Sheet2!$M$185</c:f>
              <c:strCache>
                <c:ptCount val="1"/>
                <c:pt idx="0">
                  <c:v>2014</c:v>
                </c:pt>
              </c:strCache>
            </c:strRef>
          </c:tx>
          <c:invertIfNegative val="0"/>
          <c:dLbls>
            <c:showLegendKey val="0"/>
            <c:showVal val="1"/>
            <c:showCatName val="0"/>
            <c:showSerName val="0"/>
            <c:showPercent val="0"/>
            <c:showBubbleSize val="0"/>
            <c:showLeaderLines val="0"/>
          </c:dLbls>
          <c:cat>
            <c:strRef>
              <c:f>Sheet2!$L$186:$L$189</c:f>
              <c:strCache>
                <c:ptCount val="4"/>
                <c:pt idx="0">
                  <c:v>Enkeldoorn</c:v>
                </c:pt>
                <c:pt idx="1">
                  <c:v>Umthombophile</c:v>
                </c:pt>
                <c:pt idx="2">
                  <c:v>Phakama</c:v>
                </c:pt>
                <c:pt idx="3">
                  <c:v>Klipspruit</c:v>
                </c:pt>
              </c:strCache>
            </c:strRef>
          </c:cat>
          <c:val>
            <c:numRef>
              <c:f>Sheet2!$M$186:$M$189</c:f>
              <c:numCache>
                <c:formatCode>General</c:formatCode>
                <c:ptCount val="4"/>
                <c:pt idx="0">
                  <c:v>9.2200000000000006</c:v>
                </c:pt>
                <c:pt idx="1">
                  <c:v>38.380000000000003</c:v>
                </c:pt>
                <c:pt idx="3">
                  <c:v>26.83</c:v>
                </c:pt>
              </c:numCache>
            </c:numRef>
          </c:val>
        </c:ser>
        <c:ser>
          <c:idx val="1"/>
          <c:order val="1"/>
          <c:tx>
            <c:strRef>
              <c:f>Sheet2!$N$185</c:f>
              <c:strCache>
                <c:ptCount val="1"/>
                <c:pt idx="0">
                  <c:v>2015</c:v>
                </c:pt>
              </c:strCache>
            </c:strRef>
          </c:tx>
          <c:invertIfNegative val="0"/>
          <c:dLbls>
            <c:dLbl>
              <c:idx val="0"/>
              <c:layout>
                <c:manualLayout>
                  <c:x val="-1.5200868621064061E-2"/>
                  <c:y val="2.0703926996975271E-2"/>
                </c:manualLayout>
              </c:layout>
              <c:showLegendKey val="0"/>
              <c:showVal val="1"/>
              <c:showCatName val="0"/>
              <c:showSerName val="0"/>
              <c:showPercent val="0"/>
              <c:showBubbleSize val="0"/>
            </c:dLbl>
            <c:dLbl>
              <c:idx val="1"/>
              <c:layout>
                <c:manualLayout>
                  <c:x val="8.686210640608075E-3"/>
                  <c:y val="-1.656314159758021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Sheet2!$L$186:$L$189</c:f>
              <c:strCache>
                <c:ptCount val="4"/>
                <c:pt idx="0">
                  <c:v>Enkeldoorn</c:v>
                </c:pt>
                <c:pt idx="1">
                  <c:v>Umthombophile</c:v>
                </c:pt>
                <c:pt idx="2">
                  <c:v>Phakama</c:v>
                </c:pt>
                <c:pt idx="3">
                  <c:v>Klipspruit</c:v>
                </c:pt>
              </c:strCache>
            </c:strRef>
          </c:cat>
          <c:val>
            <c:numRef>
              <c:f>Sheet2!$N$186:$N$189</c:f>
              <c:numCache>
                <c:formatCode>General</c:formatCode>
                <c:ptCount val="4"/>
                <c:pt idx="0">
                  <c:v>48.6</c:v>
                </c:pt>
                <c:pt idx="1">
                  <c:v>20.100000000000001</c:v>
                </c:pt>
                <c:pt idx="2">
                  <c:v>15.93</c:v>
                </c:pt>
              </c:numCache>
            </c:numRef>
          </c:val>
        </c:ser>
        <c:ser>
          <c:idx val="2"/>
          <c:order val="2"/>
          <c:tx>
            <c:strRef>
              <c:f>Sheet2!$O$185</c:f>
              <c:strCache>
                <c:ptCount val="1"/>
                <c:pt idx="0">
                  <c:v>2016</c:v>
                </c:pt>
              </c:strCache>
            </c:strRef>
          </c:tx>
          <c:invertIfNegative val="0"/>
          <c:dLbls>
            <c:dLbl>
              <c:idx val="1"/>
              <c:layout>
                <c:manualLayout>
                  <c:x val="1.0857763300760043E-2"/>
                  <c:y val="0"/>
                </c:manualLayout>
              </c:layout>
              <c:showLegendKey val="0"/>
              <c:showVal val="1"/>
              <c:showCatName val="0"/>
              <c:showSerName val="0"/>
              <c:showPercent val="0"/>
              <c:showBubbleSize val="0"/>
            </c:dLbl>
            <c:dLbl>
              <c:idx val="2"/>
              <c:layout>
                <c:manualLayout>
                  <c:x val="6.5146579804560263E-3"/>
                  <c:y val="1.656314159758021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Sheet2!$L$186:$L$189</c:f>
              <c:strCache>
                <c:ptCount val="4"/>
                <c:pt idx="0">
                  <c:v>Enkeldoorn</c:v>
                </c:pt>
                <c:pt idx="1">
                  <c:v>Umthombophile</c:v>
                </c:pt>
                <c:pt idx="2">
                  <c:v>Phakama</c:v>
                </c:pt>
                <c:pt idx="3">
                  <c:v>Klipspruit</c:v>
                </c:pt>
              </c:strCache>
            </c:strRef>
          </c:cat>
          <c:val>
            <c:numRef>
              <c:f>Sheet2!$O$186:$O$189</c:f>
              <c:numCache>
                <c:formatCode>General</c:formatCode>
                <c:ptCount val="4"/>
                <c:pt idx="0">
                  <c:v>49.89</c:v>
                </c:pt>
                <c:pt idx="1">
                  <c:v>18.89</c:v>
                </c:pt>
                <c:pt idx="2">
                  <c:v>7.3</c:v>
                </c:pt>
                <c:pt idx="3">
                  <c:v>14.27</c:v>
                </c:pt>
              </c:numCache>
            </c:numRef>
          </c:val>
        </c:ser>
        <c:ser>
          <c:idx val="3"/>
          <c:order val="3"/>
          <c:tx>
            <c:strRef>
              <c:f>Sheet2!$P$185</c:f>
              <c:strCache>
                <c:ptCount val="1"/>
                <c:pt idx="0">
                  <c:v>2017</c:v>
                </c:pt>
              </c:strCache>
            </c:strRef>
          </c:tx>
          <c:invertIfNegative val="0"/>
          <c:dLbls>
            <c:dLbl>
              <c:idx val="0"/>
              <c:layout>
                <c:manualLayout>
                  <c:x val="2.1715526601520088E-3"/>
                  <c:y val="-2.484471239637030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Sheet2!$L$186:$L$189</c:f>
              <c:strCache>
                <c:ptCount val="4"/>
                <c:pt idx="0">
                  <c:v>Enkeldoorn</c:v>
                </c:pt>
                <c:pt idx="1">
                  <c:v>Umthombophile</c:v>
                </c:pt>
                <c:pt idx="2">
                  <c:v>Phakama</c:v>
                </c:pt>
                <c:pt idx="3">
                  <c:v>Klipspruit</c:v>
                </c:pt>
              </c:strCache>
            </c:strRef>
          </c:cat>
          <c:val>
            <c:numRef>
              <c:f>Sheet2!$P$186:$P$189</c:f>
              <c:numCache>
                <c:formatCode>General</c:formatCode>
                <c:ptCount val="4"/>
                <c:pt idx="0">
                  <c:v>52.5</c:v>
                </c:pt>
                <c:pt idx="1">
                  <c:v>9.73</c:v>
                </c:pt>
                <c:pt idx="2">
                  <c:v>9.44</c:v>
                </c:pt>
                <c:pt idx="3">
                  <c:v>19.86</c:v>
                </c:pt>
              </c:numCache>
            </c:numRef>
          </c:val>
        </c:ser>
        <c:ser>
          <c:idx val="4"/>
          <c:order val="4"/>
          <c:tx>
            <c:strRef>
              <c:f>Sheet2!$Q$185</c:f>
              <c:strCache>
                <c:ptCount val="1"/>
                <c:pt idx="0">
                  <c:v>2018</c:v>
                </c:pt>
              </c:strCache>
            </c:strRef>
          </c:tx>
          <c:invertIfNegative val="0"/>
          <c:dLbls>
            <c:dLbl>
              <c:idx val="0"/>
              <c:layout>
                <c:manualLayout>
                  <c:x val="1.9543973941368076E-2"/>
                  <c:y val="0"/>
                </c:manualLayout>
              </c:layout>
              <c:showLegendKey val="0"/>
              <c:showVal val="1"/>
              <c:showCatName val="0"/>
              <c:showSerName val="0"/>
              <c:showPercent val="0"/>
              <c:showBubbleSize val="0"/>
            </c:dLbl>
            <c:dLbl>
              <c:idx val="2"/>
              <c:layout>
                <c:manualLayout>
                  <c:x val="2.1715526601520088E-3"/>
                  <c:y val="-2.48447123963703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Sheet2!$L$186:$L$189</c:f>
              <c:strCache>
                <c:ptCount val="4"/>
                <c:pt idx="0">
                  <c:v>Enkeldoorn</c:v>
                </c:pt>
                <c:pt idx="1">
                  <c:v>Umthombophile</c:v>
                </c:pt>
                <c:pt idx="2">
                  <c:v>Phakama</c:v>
                </c:pt>
                <c:pt idx="3">
                  <c:v>Klipspruit</c:v>
                </c:pt>
              </c:strCache>
            </c:strRef>
          </c:cat>
          <c:val>
            <c:numRef>
              <c:f>Sheet2!$Q$186:$Q$189</c:f>
              <c:numCache>
                <c:formatCode>General</c:formatCode>
                <c:ptCount val="4"/>
                <c:pt idx="0">
                  <c:v>51.5</c:v>
                </c:pt>
                <c:pt idx="1">
                  <c:v>24.5</c:v>
                </c:pt>
                <c:pt idx="2">
                  <c:v>11.71</c:v>
                </c:pt>
                <c:pt idx="3">
                  <c:v>32.76</c:v>
                </c:pt>
              </c:numCache>
            </c:numRef>
          </c:val>
        </c:ser>
        <c:dLbls>
          <c:showLegendKey val="0"/>
          <c:showVal val="0"/>
          <c:showCatName val="0"/>
          <c:showSerName val="0"/>
          <c:showPercent val="0"/>
          <c:showBubbleSize val="0"/>
        </c:dLbls>
        <c:gapWidth val="75"/>
        <c:shape val="box"/>
        <c:axId val="120322304"/>
        <c:axId val="120332288"/>
        <c:axId val="0"/>
      </c:bar3DChart>
      <c:catAx>
        <c:axId val="120322304"/>
        <c:scaling>
          <c:orientation val="minMax"/>
        </c:scaling>
        <c:delete val="0"/>
        <c:axPos val="b"/>
        <c:numFmt formatCode="General" sourceLinked="1"/>
        <c:majorTickMark val="none"/>
        <c:minorTickMark val="none"/>
        <c:tickLblPos val="nextTo"/>
        <c:crossAx val="120332288"/>
        <c:crosses val="autoZero"/>
        <c:auto val="1"/>
        <c:lblAlgn val="ctr"/>
        <c:lblOffset val="100"/>
        <c:noMultiLvlLbl val="0"/>
      </c:catAx>
      <c:valAx>
        <c:axId val="120332288"/>
        <c:scaling>
          <c:orientation val="minMax"/>
        </c:scaling>
        <c:delete val="0"/>
        <c:axPos val="l"/>
        <c:majorGridlines/>
        <c:numFmt formatCode="General" sourceLinked="1"/>
        <c:majorTickMark val="none"/>
        <c:minorTickMark val="none"/>
        <c:tickLblPos val="nextTo"/>
        <c:spPr>
          <a:ln w="9525">
            <a:noFill/>
          </a:ln>
        </c:spPr>
        <c:crossAx val="12032230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200"/>
            </a:pPr>
            <a:r>
              <a:rPr lang="en-US" sz="1200"/>
              <a:t>Kwena</a:t>
            </a:r>
            <a:r>
              <a:rPr lang="en-US" sz="1200" baseline="0"/>
              <a:t> Basin: Word Test, Grade 4 (2014-2018)</a:t>
            </a:r>
            <a:endParaRPr lang="en-US"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Sheet2!$L$181</c:f>
              <c:strCache>
                <c:ptCount val="1"/>
                <c:pt idx="0">
                  <c:v>Grade 4 </c:v>
                </c:pt>
              </c:strCache>
            </c:strRef>
          </c:tx>
          <c:invertIfNegative val="0"/>
          <c:dPt>
            <c:idx val="5"/>
            <c:invertIfNegative val="0"/>
            <c:bubble3D val="0"/>
            <c:spPr>
              <a:solidFill>
                <a:schemeClr val="accent2">
                  <a:lumMod val="60000"/>
                  <a:lumOff val="40000"/>
                </a:schemeClr>
              </a:solidFill>
            </c:spPr>
          </c:dPt>
          <c:dLbls>
            <c:txPr>
              <a:bodyPr/>
              <a:lstStyle/>
              <a:p>
                <a:pPr>
                  <a:defRPr sz="1200" b="1"/>
                </a:pPr>
                <a:endParaRPr lang="en-US"/>
              </a:p>
            </c:txPr>
            <c:showLegendKey val="0"/>
            <c:showVal val="1"/>
            <c:showCatName val="0"/>
            <c:showSerName val="0"/>
            <c:showPercent val="0"/>
            <c:showBubbleSize val="0"/>
            <c:showLeaderLines val="0"/>
          </c:dLbls>
          <c:cat>
            <c:strRef>
              <c:f>Sheet2!$M$180:$R$180</c:f>
              <c:strCache>
                <c:ptCount val="6"/>
                <c:pt idx="0">
                  <c:v>Kwena Basin 2014 </c:v>
                </c:pt>
                <c:pt idx="1">
                  <c:v>Kwena Basin 2015 </c:v>
                </c:pt>
                <c:pt idx="2">
                  <c:v>Kwena Basin 2016</c:v>
                </c:pt>
                <c:pt idx="3">
                  <c:v>Kwena Basin 2017</c:v>
                </c:pt>
                <c:pt idx="4">
                  <c:v>Kwena Basin 2018</c:v>
                </c:pt>
                <c:pt idx="5">
                  <c:v>Local Comparison</c:v>
                </c:pt>
              </c:strCache>
            </c:strRef>
          </c:cat>
          <c:val>
            <c:numRef>
              <c:f>Sheet2!$M$181:$R$181</c:f>
              <c:numCache>
                <c:formatCode>General</c:formatCode>
                <c:ptCount val="6"/>
                <c:pt idx="0">
                  <c:v>31.93</c:v>
                </c:pt>
                <c:pt idx="1">
                  <c:v>43.27</c:v>
                </c:pt>
                <c:pt idx="2">
                  <c:v>43.06</c:v>
                </c:pt>
                <c:pt idx="3">
                  <c:v>35.119999999999997</c:v>
                </c:pt>
                <c:pt idx="4">
                  <c:v>41.96</c:v>
                </c:pt>
                <c:pt idx="5">
                  <c:v>13.94</c:v>
                </c:pt>
              </c:numCache>
            </c:numRef>
          </c:val>
        </c:ser>
        <c:dLbls>
          <c:showLegendKey val="0"/>
          <c:showVal val="0"/>
          <c:showCatName val="0"/>
          <c:showSerName val="0"/>
          <c:showPercent val="0"/>
          <c:showBubbleSize val="0"/>
        </c:dLbls>
        <c:gapWidth val="75"/>
        <c:shape val="box"/>
        <c:axId val="131069056"/>
        <c:axId val="131070592"/>
        <c:axId val="0"/>
      </c:bar3DChart>
      <c:catAx>
        <c:axId val="131069056"/>
        <c:scaling>
          <c:orientation val="minMax"/>
        </c:scaling>
        <c:delete val="0"/>
        <c:axPos val="b"/>
        <c:majorTickMark val="none"/>
        <c:minorTickMark val="none"/>
        <c:tickLblPos val="nextTo"/>
        <c:crossAx val="131070592"/>
        <c:crosses val="autoZero"/>
        <c:auto val="1"/>
        <c:lblAlgn val="ctr"/>
        <c:lblOffset val="100"/>
        <c:noMultiLvlLbl val="0"/>
      </c:catAx>
      <c:valAx>
        <c:axId val="131070592"/>
        <c:scaling>
          <c:orientation val="minMax"/>
        </c:scaling>
        <c:delete val="0"/>
        <c:axPos val="l"/>
        <c:majorGridlines/>
        <c:numFmt formatCode="General" sourceLinked="1"/>
        <c:majorTickMark val="none"/>
        <c:minorTickMark val="none"/>
        <c:tickLblPos val="nextTo"/>
        <c:spPr>
          <a:ln w="9525">
            <a:noFill/>
          </a:ln>
        </c:spPr>
        <c:crossAx val="1310690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a:t>
            </a:r>
            <a:r>
              <a:rPr lang="en-ZA" sz="1200" baseline="0"/>
              <a:t> Test: Grade 4 (2014-2018) </a:t>
            </a:r>
            <a:endParaRPr lang="en-ZA"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7616920181150406E-2"/>
          <c:y val="0.13688089268171086"/>
          <c:w val="0.90685340705124007"/>
          <c:h val="0.68757137201425245"/>
        </c:manualLayout>
      </c:layout>
      <c:bar3DChart>
        <c:barDir val="col"/>
        <c:grouping val="clustered"/>
        <c:varyColors val="0"/>
        <c:ser>
          <c:idx val="0"/>
          <c:order val="0"/>
          <c:tx>
            <c:strRef>
              <c:f>Sheet2!$M$199</c:f>
              <c:strCache>
                <c:ptCount val="1"/>
                <c:pt idx="0">
                  <c:v>2014</c:v>
                </c:pt>
              </c:strCache>
            </c:strRef>
          </c:tx>
          <c:invertIfNegative val="0"/>
          <c:dLbls>
            <c:showLegendKey val="0"/>
            <c:showVal val="1"/>
            <c:showCatName val="0"/>
            <c:showSerName val="0"/>
            <c:showPercent val="0"/>
            <c:showBubbleSize val="0"/>
            <c:showLeaderLines val="0"/>
          </c:dLbls>
          <c:cat>
            <c:strRef>
              <c:f>Sheet2!$L$200:$L$203</c:f>
              <c:strCache>
                <c:ptCount val="4"/>
                <c:pt idx="0">
                  <c:v>Enkeldoorn</c:v>
                </c:pt>
                <c:pt idx="1">
                  <c:v>Umthombophile</c:v>
                </c:pt>
                <c:pt idx="2">
                  <c:v>Phakama</c:v>
                </c:pt>
                <c:pt idx="3">
                  <c:v>Klipspruit</c:v>
                </c:pt>
              </c:strCache>
            </c:strRef>
          </c:cat>
          <c:val>
            <c:numRef>
              <c:f>Sheet2!$M$200:$M$203</c:f>
              <c:numCache>
                <c:formatCode>General</c:formatCode>
                <c:ptCount val="4"/>
                <c:pt idx="0">
                  <c:v>23.62</c:v>
                </c:pt>
                <c:pt idx="1">
                  <c:v>47</c:v>
                </c:pt>
                <c:pt idx="3">
                  <c:v>23.4</c:v>
                </c:pt>
              </c:numCache>
            </c:numRef>
          </c:val>
        </c:ser>
        <c:ser>
          <c:idx val="1"/>
          <c:order val="1"/>
          <c:tx>
            <c:strRef>
              <c:f>Sheet2!$N$199</c:f>
              <c:strCache>
                <c:ptCount val="1"/>
                <c:pt idx="0">
                  <c:v>2015</c:v>
                </c:pt>
              </c:strCache>
            </c:strRef>
          </c:tx>
          <c:invertIfNegative val="0"/>
          <c:dLbls>
            <c:showLegendKey val="0"/>
            <c:showVal val="1"/>
            <c:showCatName val="0"/>
            <c:showSerName val="0"/>
            <c:showPercent val="0"/>
            <c:showBubbleSize val="0"/>
            <c:showLeaderLines val="0"/>
          </c:dLbls>
          <c:cat>
            <c:strRef>
              <c:f>Sheet2!$L$200:$L$203</c:f>
              <c:strCache>
                <c:ptCount val="4"/>
                <c:pt idx="0">
                  <c:v>Enkeldoorn</c:v>
                </c:pt>
                <c:pt idx="1">
                  <c:v>Umthombophile</c:v>
                </c:pt>
                <c:pt idx="2">
                  <c:v>Phakama</c:v>
                </c:pt>
                <c:pt idx="3">
                  <c:v>Klipspruit</c:v>
                </c:pt>
              </c:strCache>
            </c:strRef>
          </c:cat>
          <c:val>
            <c:numRef>
              <c:f>Sheet2!$N$200:$N$203</c:f>
              <c:numCache>
                <c:formatCode>General</c:formatCode>
                <c:ptCount val="4"/>
                <c:pt idx="0">
                  <c:v>44.91</c:v>
                </c:pt>
                <c:pt idx="1">
                  <c:v>44.56</c:v>
                </c:pt>
                <c:pt idx="2">
                  <c:v>41.91</c:v>
                </c:pt>
              </c:numCache>
            </c:numRef>
          </c:val>
        </c:ser>
        <c:ser>
          <c:idx val="2"/>
          <c:order val="2"/>
          <c:tx>
            <c:strRef>
              <c:f>Sheet2!$O$199</c:f>
              <c:strCache>
                <c:ptCount val="1"/>
                <c:pt idx="0">
                  <c:v>2016</c:v>
                </c:pt>
              </c:strCache>
            </c:strRef>
          </c:tx>
          <c:invertIfNegative val="0"/>
          <c:dLbls>
            <c:dLbl>
              <c:idx val="1"/>
              <c:layout>
                <c:manualLayout>
                  <c:x val="2.6592797783933517E-2"/>
                  <c:y val="-6.8061936362089504E-3"/>
                </c:manualLayout>
              </c:layout>
              <c:showLegendKey val="0"/>
              <c:showVal val="1"/>
              <c:showCatName val="0"/>
              <c:showSerName val="0"/>
              <c:showPercent val="0"/>
              <c:showBubbleSize val="0"/>
            </c:dLbl>
            <c:dLbl>
              <c:idx val="3"/>
              <c:layout>
                <c:manualLayout>
                  <c:x val="-6.6481136021276756E-3"/>
                  <c:y val="3.743273094414082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Sheet2!$L$200:$L$203</c:f>
              <c:strCache>
                <c:ptCount val="4"/>
                <c:pt idx="0">
                  <c:v>Enkeldoorn</c:v>
                </c:pt>
                <c:pt idx="1">
                  <c:v>Umthombophile</c:v>
                </c:pt>
                <c:pt idx="2">
                  <c:v>Phakama</c:v>
                </c:pt>
                <c:pt idx="3">
                  <c:v>Klipspruit</c:v>
                </c:pt>
              </c:strCache>
            </c:strRef>
          </c:cat>
          <c:val>
            <c:numRef>
              <c:f>Sheet2!$O$200:$O$203</c:f>
              <c:numCache>
                <c:formatCode>General</c:formatCode>
                <c:ptCount val="4"/>
                <c:pt idx="0">
                  <c:v>77.2</c:v>
                </c:pt>
                <c:pt idx="1">
                  <c:v>46.7</c:v>
                </c:pt>
                <c:pt idx="2">
                  <c:v>47</c:v>
                </c:pt>
                <c:pt idx="3">
                  <c:v>28.48</c:v>
                </c:pt>
              </c:numCache>
            </c:numRef>
          </c:val>
        </c:ser>
        <c:ser>
          <c:idx val="3"/>
          <c:order val="3"/>
          <c:tx>
            <c:strRef>
              <c:f>Sheet2!$P$199</c:f>
              <c:strCache>
                <c:ptCount val="1"/>
                <c:pt idx="0">
                  <c:v>2017</c:v>
                </c:pt>
              </c:strCache>
            </c:strRef>
          </c:tx>
          <c:invertIfNegative val="0"/>
          <c:dLbls>
            <c:dLbl>
              <c:idx val="1"/>
              <c:layout>
                <c:manualLayout>
                  <c:x val="2.216037867375891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Sheet2!$L$200:$L$203</c:f>
              <c:strCache>
                <c:ptCount val="4"/>
                <c:pt idx="0">
                  <c:v>Enkeldoorn</c:v>
                </c:pt>
                <c:pt idx="1">
                  <c:v>Umthombophile</c:v>
                </c:pt>
                <c:pt idx="2">
                  <c:v>Phakama</c:v>
                </c:pt>
                <c:pt idx="3">
                  <c:v>Klipspruit</c:v>
                </c:pt>
              </c:strCache>
            </c:strRef>
          </c:cat>
          <c:val>
            <c:numRef>
              <c:f>Sheet2!$P$200:$P$203</c:f>
              <c:numCache>
                <c:formatCode>General</c:formatCode>
                <c:ptCount val="4"/>
                <c:pt idx="0">
                  <c:v>61.25</c:v>
                </c:pt>
                <c:pt idx="1">
                  <c:v>26.6</c:v>
                </c:pt>
                <c:pt idx="2">
                  <c:v>29.06</c:v>
                </c:pt>
                <c:pt idx="3">
                  <c:v>26.6</c:v>
                </c:pt>
              </c:numCache>
            </c:numRef>
          </c:val>
        </c:ser>
        <c:ser>
          <c:idx val="4"/>
          <c:order val="4"/>
          <c:tx>
            <c:strRef>
              <c:f>Sheet2!$Q$199</c:f>
              <c:strCache>
                <c:ptCount val="1"/>
                <c:pt idx="0">
                  <c:v>2018</c:v>
                </c:pt>
              </c:strCache>
            </c:strRef>
          </c:tx>
          <c:invertIfNegative val="0"/>
          <c:dLbls>
            <c:dLbl>
              <c:idx val="1"/>
              <c:layout>
                <c:manualLayout>
                  <c:x val="2.6592454408510702E-2"/>
                  <c:y val="4.4238682024893707E-2"/>
                </c:manualLayout>
              </c:layout>
              <c:showLegendKey val="0"/>
              <c:showVal val="1"/>
              <c:showCatName val="0"/>
              <c:showSerName val="0"/>
              <c:showPercent val="0"/>
              <c:showBubbleSize val="0"/>
            </c:dLbl>
            <c:dLbl>
              <c:idx val="2"/>
              <c:layout>
                <c:manualLayout>
                  <c:x val="2.880849227588659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Sheet2!$L$200:$L$203</c:f>
              <c:strCache>
                <c:ptCount val="4"/>
                <c:pt idx="0">
                  <c:v>Enkeldoorn</c:v>
                </c:pt>
                <c:pt idx="1">
                  <c:v>Umthombophile</c:v>
                </c:pt>
                <c:pt idx="2">
                  <c:v>Phakama</c:v>
                </c:pt>
                <c:pt idx="3">
                  <c:v>Klipspruit</c:v>
                </c:pt>
              </c:strCache>
            </c:strRef>
          </c:cat>
          <c:val>
            <c:numRef>
              <c:f>Sheet2!$Q$200:$Q$203</c:f>
              <c:numCache>
                <c:formatCode>General</c:formatCode>
                <c:ptCount val="4"/>
                <c:pt idx="0">
                  <c:v>97.83</c:v>
                </c:pt>
                <c:pt idx="1">
                  <c:v>26.67</c:v>
                </c:pt>
                <c:pt idx="2">
                  <c:v>29.85</c:v>
                </c:pt>
                <c:pt idx="3">
                  <c:v>35.58</c:v>
                </c:pt>
              </c:numCache>
            </c:numRef>
          </c:val>
        </c:ser>
        <c:dLbls>
          <c:showLegendKey val="0"/>
          <c:showVal val="0"/>
          <c:showCatName val="0"/>
          <c:showSerName val="0"/>
          <c:showPercent val="0"/>
          <c:showBubbleSize val="0"/>
        </c:dLbls>
        <c:gapWidth val="75"/>
        <c:shape val="box"/>
        <c:axId val="140972032"/>
        <c:axId val="140973568"/>
        <c:axId val="0"/>
      </c:bar3DChart>
      <c:catAx>
        <c:axId val="140972032"/>
        <c:scaling>
          <c:orientation val="minMax"/>
        </c:scaling>
        <c:delete val="0"/>
        <c:axPos val="b"/>
        <c:numFmt formatCode="General" sourceLinked="1"/>
        <c:majorTickMark val="none"/>
        <c:minorTickMark val="none"/>
        <c:tickLblPos val="nextTo"/>
        <c:crossAx val="140973568"/>
        <c:crosses val="autoZero"/>
        <c:auto val="1"/>
        <c:lblAlgn val="ctr"/>
        <c:lblOffset val="100"/>
        <c:noMultiLvlLbl val="0"/>
      </c:catAx>
      <c:valAx>
        <c:axId val="140973568"/>
        <c:scaling>
          <c:orientation val="minMax"/>
        </c:scaling>
        <c:delete val="0"/>
        <c:axPos val="l"/>
        <c:majorGridlines/>
        <c:numFmt formatCode="General" sourceLinked="1"/>
        <c:majorTickMark val="none"/>
        <c:minorTickMark val="none"/>
        <c:tickLblPos val="nextTo"/>
        <c:spPr>
          <a:ln w="9525">
            <a:noFill/>
          </a:ln>
        </c:spPr>
        <c:crossAx val="14097203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2</cp:revision>
  <dcterms:created xsi:type="dcterms:W3CDTF">2018-12-02T14:09:00Z</dcterms:created>
  <dcterms:modified xsi:type="dcterms:W3CDTF">2018-12-02T14:09:00Z</dcterms:modified>
</cp:coreProperties>
</file>